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DB0C8" w14:textId="226F0D07" w:rsidR="007D4FF2" w:rsidRDefault="006C01FC">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sidR="0016097C">
        <w:rPr>
          <w:rFonts w:cs="Arial"/>
          <w:b/>
          <w:bCs/>
          <w:snapToGrid w:val="0"/>
          <w:kern w:val="0"/>
          <w:sz w:val="24"/>
          <w:lang w:val="en-US" w:eastAsia="zh-CN"/>
        </w:rPr>
        <w:t>9</w:t>
      </w:r>
      <w:r>
        <w:rPr>
          <w:rFonts w:cs="Arial" w:hint="eastAsia"/>
          <w:b/>
          <w:bCs/>
          <w:snapToGrid w:val="0"/>
          <w:kern w:val="0"/>
          <w:sz w:val="24"/>
        </w:rPr>
        <w:tab/>
      </w:r>
      <w:r w:rsidR="00BE4C64">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D11F9B" w:rsidRPr="00D11F9B">
        <w:rPr>
          <w:rFonts w:cs="Arial"/>
          <w:b/>
          <w:bCs/>
          <w:snapToGrid w:val="0"/>
          <w:kern w:val="0"/>
          <w:sz w:val="24"/>
        </w:rPr>
        <w:t>R2</w:t>
      </w:r>
      <w:r w:rsidR="003231CD" w:rsidRPr="003231CD">
        <w:rPr>
          <w:rFonts w:cs="Arial"/>
          <w:b/>
          <w:bCs/>
          <w:snapToGrid w:val="0"/>
          <w:kern w:val="0"/>
          <w:sz w:val="24"/>
        </w:rPr>
        <w:t>-</w:t>
      </w:r>
      <w:r w:rsidR="0016097C" w:rsidRPr="0016097C">
        <w:t xml:space="preserve"> </w:t>
      </w:r>
      <w:r w:rsidR="0016097C" w:rsidRPr="0016097C">
        <w:rPr>
          <w:rFonts w:cs="Arial"/>
          <w:b/>
          <w:bCs/>
          <w:snapToGrid w:val="0"/>
          <w:kern w:val="0"/>
          <w:sz w:val="24"/>
        </w:rPr>
        <w:t>2500663</w:t>
      </w:r>
    </w:p>
    <w:p w14:paraId="06A3BEC1" w14:textId="485872CF" w:rsidR="007D4FF2" w:rsidRDefault="0016097C">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b/>
          <w:bCs/>
          <w:sz w:val="24"/>
          <w:szCs w:val="24"/>
        </w:rPr>
        <w:t>Athens, Greece</w:t>
      </w:r>
      <w:r w:rsidR="006C01FC">
        <w:rPr>
          <w:b/>
          <w:bCs/>
          <w:sz w:val="24"/>
          <w:szCs w:val="24"/>
        </w:rPr>
        <w:t xml:space="preserve">, </w:t>
      </w:r>
      <w:r>
        <w:rPr>
          <w:b/>
          <w:bCs/>
          <w:sz w:val="24"/>
          <w:szCs w:val="24"/>
        </w:rPr>
        <w:t xml:space="preserve">Feb </w:t>
      </w:r>
      <w:r w:rsidR="006C01FC">
        <w:rPr>
          <w:rFonts w:hint="eastAsia"/>
          <w:b/>
          <w:bCs/>
          <w:sz w:val="24"/>
          <w:szCs w:val="24"/>
          <w:lang w:val="en-US" w:eastAsia="zh-CN"/>
        </w:rPr>
        <w:t>1</w:t>
      </w:r>
      <w:r>
        <w:rPr>
          <w:b/>
          <w:bCs/>
          <w:sz w:val="24"/>
          <w:szCs w:val="24"/>
          <w:lang w:val="en-US" w:eastAsia="zh-CN"/>
        </w:rPr>
        <w:t>7</w:t>
      </w:r>
      <w:r w:rsidR="006C01FC">
        <w:rPr>
          <w:b/>
          <w:bCs/>
          <w:sz w:val="24"/>
          <w:szCs w:val="24"/>
          <w:vertAlign w:val="superscript"/>
        </w:rPr>
        <w:t>th</w:t>
      </w:r>
      <w:r w:rsidR="006C01FC">
        <w:rPr>
          <w:b/>
          <w:bCs/>
          <w:sz w:val="24"/>
          <w:szCs w:val="24"/>
        </w:rPr>
        <w:t xml:space="preserve">– </w:t>
      </w:r>
      <w:r w:rsidR="00BE4C64">
        <w:rPr>
          <w:b/>
          <w:bCs/>
          <w:sz w:val="24"/>
          <w:szCs w:val="24"/>
          <w:lang w:val="en-US" w:eastAsia="zh-CN"/>
        </w:rPr>
        <w:t>2</w:t>
      </w:r>
      <w:r>
        <w:rPr>
          <w:b/>
          <w:bCs/>
          <w:sz w:val="24"/>
          <w:szCs w:val="24"/>
          <w:lang w:val="en-US" w:eastAsia="zh-CN"/>
        </w:rPr>
        <w:t>1</w:t>
      </w:r>
      <w:r w:rsidR="00BE4C64">
        <w:rPr>
          <w:b/>
          <w:bCs/>
          <w:sz w:val="24"/>
          <w:szCs w:val="24"/>
          <w:vertAlign w:val="superscript"/>
          <w:lang w:val="en-US" w:eastAsia="zh-CN"/>
        </w:rPr>
        <w:t>nd</w:t>
      </w:r>
      <w:r w:rsidR="006C01FC">
        <w:rPr>
          <w:rFonts w:eastAsia="SimSun" w:cs="Arial"/>
          <w:b/>
          <w:bCs/>
          <w:kern w:val="0"/>
          <w:sz w:val="24"/>
          <w:szCs w:val="24"/>
          <w:lang w:val="en-US" w:eastAsia="en-US"/>
        </w:rPr>
        <w:t xml:space="preserve">, </w:t>
      </w:r>
      <w:r w:rsidR="006C01FC">
        <w:rPr>
          <w:rFonts w:eastAsia="SimSun" w:cs="Arial"/>
          <w:b/>
          <w:kern w:val="0"/>
          <w:sz w:val="24"/>
          <w:szCs w:val="24"/>
          <w:lang w:val="en-US" w:eastAsia="en-US"/>
        </w:rPr>
        <w:t>202</w:t>
      </w:r>
      <w:r>
        <w:rPr>
          <w:rFonts w:eastAsia="SimSun" w:cs="Arial"/>
          <w:b/>
          <w:kern w:val="0"/>
          <w:sz w:val="24"/>
          <w:szCs w:val="24"/>
          <w:lang w:val="en-US" w:eastAsia="en-US"/>
        </w:rPr>
        <w:t>5</w:t>
      </w:r>
      <w:r w:rsidR="006C01FC">
        <w:rPr>
          <w:rFonts w:eastAsia="SimSun" w:cs="Arial" w:hint="eastAsia"/>
          <w:b/>
          <w:kern w:val="0"/>
          <w:sz w:val="24"/>
          <w:szCs w:val="24"/>
          <w:lang w:val="en-US" w:eastAsia="zh-CN"/>
        </w:rPr>
        <w:t xml:space="preserve">                   </w:t>
      </w:r>
      <w:r w:rsidR="006C01FC">
        <w:rPr>
          <w:rFonts w:cs="Arial"/>
          <w:b/>
          <w:bCs/>
          <w:snapToGrid w:val="0"/>
          <w:kern w:val="0"/>
          <w:sz w:val="24"/>
          <w:szCs w:val="24"/>
          <w:lang w:val="en-US" w:eastAsia="zh-CN"/>
        </w:rPr>
        <w:t xml:space="preserve">  </w:t>
      </w:r>
      <w:r w:rsidR="006C01FC">
        <w:rPr>
          <w:rFonts w:cs="Arial" w:hint="eastAsia"/>
          <w:b/>
          <w:bCs/>
          <w:snapToGrid w:val="0"/>
          <w:kern w:val="0"/>
          <w:sz w:val="24"/>
          <w:lang w:val="en-US" w:eastAsia="zh-CN"/>
        </w:rPr>
        <w:t xml:space="preserve">                     </w:t>
      </w:r>
    </w:p>
    <w:p w14:paraId="52D99A46" w14:textId="04AEE065" w:rsidR="007D4FF2" w:rsidRDefault="006C01FC">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sidR="003231CD">
        <w:rPr>
          <w:rFonts w:cs="Arial"/>
          <w:b/>
          <w:bCs/>
          <w:snapToGrid w:val="0"/>
          <w:kern w:val="0"/>
          <w:sz w:val="24"/>
        </w:rPr>
        <w:tab/>
      </w:r>
      <w:r w:rsidR="003231CD">
        <w:rPr>
          <w:rFonts w:cs="Arial"/>
          <w:b/>
          <w:bCs/>
          <w:snapToGrid w:val="0"/>
          <w:kern w:val="0"/>
          <w:sz w:val="24"/>
        </w:rPr>
        <w:tab/>
        <w:t xml:space="preserve">: </w:t>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2</w:t>
      </w:r>
    </w:p>
    <w:p w14:paraId="0100570F" w14:textId="3AC9929D" w:rsidR="007D4FF2" w:rsidRDefault="006C01FC">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Title</w:t>
      </w:r>
      <w:r w:rsidR="003231CD">
        <w:rPr>
          <w:rFonts w:cs="Arial"/>
          <w:b/>
          <w:bCs/>
          <w:snapToGrid w:val="0"/>
          <w:kern w:val="0"/>
          <w:sz w:val="24"/>
        </w:rPr>
        <w:tab/>
      </w:r>
      <w:r>
        <w:rPr>
          <w:rFonts w:cs="Arial"/>
          <w:b/>
          <w:bCs/>
          <w:snapToGrid w:val="0"/>
          <w:kern w:val="0"/>
          <w:sz w:val="24"/>
        </w:rPr>
        <w:t>:</w:t>
      </w:r>
      <w:r w:rsidR="0016097C">
        <w:rPr>
          <w:rFonts w:cs="Arial"/>
          <w:b/>
          <w:bCs/>
          <w:snapToGrid w:val="0"/>
          <w:kern w:val="0"/>
          <w:sz w:val="24"/>
        </w:rPr>
        <w:t xml:space="preserve"> On</w:t>
      </w:r>
      <w:r w:rsidR="003231CD" w:rsidRPr="003231CD">
        <w:rPr>
          <w:rFonts w:cs="Arial"/>
          <w:b/>
          <w:bCs/>
          <w:snapToGrid w:val="0"/>
          <w:kern w:val="0"/>
          <w:sz w:val="24"/>
        </w:rPr>
        <w:t xml:space="preserve"> IDLE/INACTIVE procedures for LP-WUS</w:t>
      </w:r>
    </w:p>
    <w:p w14:paraId="051895F2" w14:textId="5B2EC152" w:rsidR="007D4FF2" w:rsidRDefault="006C01FC">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Source</w:t>
      </w:r>
      <w:r w:rsidR="003231CD">
        <w:rPr>
          <w:rFonts w:cs="Arial"/>
          <w:b/>
          <w:bCs/>
          <w:snapToGrid w:val="0"/>
          <w:kern w:val="0"/>
          <w:sz w:val="24"/>
        </w:rPr>
        <w:tab/>
      </w:r>
      <w:r w:rsidR="003231CD">
        <w:rPr>
          <w:rFonts w:cs="Arial"/>
          <w:b/>
          <w:bCs/>
          <w:snapToGrid w:val="0"/>
          <w:kern w:val="0"/>
          <w:sz w:val="24"/>
        </w:rPr>
        <w:tab/>
      </w:r>
      <w:r w:rsidR="003231CD">
        <w:rPr>
          <w:rFonts w:cs="Arial"/>
          <w:b/>
          <w:bCs/>
          <w:snapToGrid w:val="0"/>
          <w:kern w:val="0"/>
          <w:sz w:val="24"/>
        </w:rPr>
        <w:tab/>
      </w:r>
      <w:r w:rsidR="003231CD">
        <w:rPr>
          <w:rFonts w:cs="Arial"/>
          <w:b/>
          <w:bCs/>
          <w:snapToGrid w:val="0"/>
          <w:kern w:val="0"/>
          <w:sz w:val="24"/>
        </w:rPr>
        <w:tab/>
      </w:r>
      <w:r>
        <w:rPr>
          <w:rFonts w:cs="Arial"/>
          <w:b/>
          <w:bCs/>
          <w:snapToGrid w:val="0"/>
          <w:kern w:val="0"/>
          <w:sz w:val="24"/>
        </w:rPr>
        <w:t>:</w:t>
      </w:r>
      <w:r w:rsidR="003231CD">
        <w:rPr>
          <w:rFonts w:cs="Arial"/>
          <w:b/>
          <w:bCs/>
          <w:snapToGrid w:val="0"/>
          <w:kern w:val="0"/>
          <w:sz w:val="24"/>
        </w:rPr>
        <w:t xml:space="preserve"> </w:t>
      </w:r>
      <w:r w:rsidR="00BE4C64">
        <w:rPr>
          <w:rFonts w:cs="Arial"/>
          <w:b/>
          <w:bCs/>
          <w:snapToGrid w:val="0"/>
          <w:kern w:val="0"/>
          <w:sz w:val="24"/>
        </w:rPr>
        <w:t>Tejas Networks Limited</w:t>
      </w:r>
    </w:p>
    <w:p w14:paraId="1B3D20EF" w14:textId="4D1915F6" w:rsidR="007D4FF2" w:rsidRDefault="006C01FC">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Document for</w:t>
      </w:r>
      <w:r w:rsidR="003231CD">
        <w:rPr>
          <w:rFonts w:cs="Arial"/>
          <w:b/>
          <w:bCs/>
          <w:snapToGrid w:val="0"/>
          <w:kern w:val="0"/>
          <w:sz w:val="24"/>
        </w:rPr>
        <w:tab/>
      </w:r>
      <w:r w:rsidR="003231CD">
        <w:rPr>
          <w:rFonts w:cs="Arial"/>
          <w:b/>
          <w:bCs/>
          <w:snapToGrid w:val="0"/>
          <w:kern w:val="0"/>
          <w:sz w:val="24"/>
        </w:rPr>
        <w:tab/>
      </w:r>
      <w:r>
        <w:rPr>
          <w:rFonts w:cs="Arial"/>
          <w:b/>
          <w:bCs/>
          <w:snapToGrid w:val="0"/>
          <w:kern w:val="0"/>
          <w:sz w:val="24"/>
        </w:rPr>
        <w:t>:</w:t>
      </w:r>
      <w:r w:rsidR="003231CD">
        <w:rPr>
          <w:rFonts w:cs="Arial"/>
          <w:b/>
          <w:bCs/>
          <w:snapToGrid w:val="0"/>
          <w:kern w:val="0"/>
          <w:sz w:val="24"/>
        </w:rPr>
        <w:t xml:space="preserve"> </w:t>
      </w:r>
      <w:r>
        <w:rPr>
          <w:rFonts w:cs="Arial"/>
          <w:b/>
          <w:bCs/>
          <w:snapToGrid w:val="0"/>
          <w:kern w:val="0"/>
          <w:sz w:val="24"/>
        </w:rPr>
        <w:t>Discussion and Decision</w:t>
      </w:r>
    </w:p>
    <w:p w14:paraId="132542C2"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DocumentFor"/>
      <w:bookmarkStart w:id="2" w:name="Source"/>
      <w:bookmarkStart w:id="3" w:name="_Toc18403966"/>
      <w:bookmarkStart w:id="4" w:name="_Toc18404533"/>
      <w:bookmarkStart w:id="5" w:name="_Toc18413600"/>
      <w:bookmarkEnd w:id="0"/>
      <w:bookmarkEnd w:id="1"/>
      <w:bookmarkEnd w:id="2"/>
      <w:r>
        <w:rPr>
          <w:rFonts w:cs="Arial"/>
          <w:b w:val="0"/>
          <w:bCs w:val="0"/>
          <w:kern w:val="0"/>
          <w:sz w:val="32"/>
          <w:szCs w:val="36"/>
        </w:rPr>
        <w:t>Introduction</w:t>
      </w:r>
      <w:bookmarkEnd w:id="3"/>
      <w:bookmarkEnd w:id="4"/>
      <w:bookmarkEnd w:id="5"/>
    </w:p>
    <w:p w14:paraId="6BA35080" w14:textId="2F2CF682" w:rsidR="0069729C" w:rsidRDefault="00F519AE" w:rsidP="0069729C">
      <w:pPr>
        <w:spacing w:before="100"/>
        <w:rPr>
          <w:sz w:val="20"/>
          <w:szCs w:val="20"/>
          <w:lang w:val="en-US" w:eastAsia="zh-CN"/>
        </w:rPr>
      </w:pPr>
      <w:r>
        <w:rPr>
          <w:sz w:val="20"/>
          <w:szCs w:val="20"/>
          <w:lang w:val="en-US" w:eastAsia="zh-CN"/>
        </w:rPr>
        <w:t>I</w:t>
      </w:r>
      <w:r w:rsidR="0069729C">
        <w:rPr>
          <w:rFonts w:hint="eastAsia"/>
          <w:sz w:val="20"/>
          <w:szCs w:val="20"/>
          <w:lang w:val="en-US" w:eastAsia="zh-CN"/>
        </w:rPr>
        <w:t>n RAN2#12</w:t>
      </w:r>
      <w:r w:rsidR="0016097C">
        <w:rPr>
          <w:sz w:val="20"/>
          <w:szCs w:val="20"/>
          <w:lang w:val="en-US" w:eastAsia="zh-CN"/>
        </w:rPr>
        <w:t>8</w:t>
      </w:r>
      <w:r w:rsidR="0069729C">
        <w:rPr>
          <w:rFonts w:hint="eastAsia"/>
          <w:sz w:val="20"/>
          <w:szCs w:val="20"/>
          <w:lang w:val="en-US" w:eastAsia="zh-CN"/>
        </w:rPr>
        <w:t xml:space="preserve"> meeting, </w:t>
      </w:r>
      <w:r w:rsidR="00AC039C">
        <w:rPr>
          <w:sz w:val="20"/>
          <w:szCs w:val="20"/>
          <w:lang w:val="en-US" w:eastAsia="zh-CN"/>
        </w:rPr>
        <w:t>RAN2 agreed</w:t>
      </w:r>
      <w:r w:rsidR="0069729C">
        <w:rPr>
          <w:rFonts w:hint="eastAsia"/>
          <w:sz w:val="20"/>
          <w:szCs w:val="20"/>
          <w:lang w:val="en-US" w:eastAsia="zh-CN"/>
        </w:rPr>
        <w:t>:</w:t>
      </w:r>
    </w:p>
    <w:tbl>
      <w:tblPr>
        <w:tblStyle w:val="TableGrid"/>
        <w:tblW w:w="0" w:type="auto"/>
        <w:tblLook w:val="04A0" w:firstRow="1" w:lastRow="0" w:firstColumn="1" w:lastColumn="0" w:noHBand="0" w:noVBand="1"/>
      </w:tblPr>
      <w:tblGrid>
        <w:gridCol w:w="9628"/>
      </w:tblGrid>
      <w:tr w:rsidR="0069729C" w14:paraId="67130965" w14:textId="77777777" w:rsidTr="00F519AE">
        <w:trPr>
          <w:trHeight w:val="403"/>
        </w:trPr>
        <w:tc>
          <w:tcPr>
            <w:tcW w:w="9628" w:type="dxa"/>
          </w:tcPr>
          <w:p w14:paraId="59ECCE41" w14:textId="77777777" w:rsidR="00F519AE" w:rsidRPr="001F2F49" w:rsidRDefault="00F519AE" w:rsidP="00F519AE">
            <w:pPr>
              <w:pStyle w:val="Agreement"/>
              <w:numPr>
                <w:ilvl w:val="0"/>
                <w:numId w:val="7"/>
              </w:numPr>
              <w:tabs>
                <w:tab w:val="clear" w:pos="1619"/>
                <w:tab w:val="clear" w:pos="8730"/>
                <w:tab w:val="num" w:pos="360"/>
              </w:tabs>
              <w:spacing w:after="0" w:line="240" w:lineRule="auto"/>
              <w:ind w:left="360"/>
              <w:rPr>
                <w:rFonts w:ascii="Times New Roman" w:hAnsi="Times New Roman"/>
                <w:b w:val="0"/>
                <w:sz w:val="18"/>
                <w:lang w:eastAsia="zh-CN"/>
              </w:rPr>
            </w:pPr>
            <w:r w:rsidRPr="001F2F49">
              <w:rPr>
                <w:rFonts w:ascii="Times New Roman" w:hAnsi="Times New Roman"/>
                <w:b w:val="0"/>
                <w:sz w:val="18"/>
                <w:lang w:eastAsia="zh-CN"/>
              </w:rPr>
              <w:t>FFS whether/how to handle the case for UE-ID based subgrouping when the UE has an emergency PDU session.</w:t>
            </w:r>
          </w:p>
          <w:p w14:paraId="6CB174F1" w14:textId="77777777" w:rsidR="00F519AE" w:rsidRPr="001F2F49" w:rsidRDefault="00F519AE" w:rsidP="00F519AE">
            <w:pPr>
              <w:pStyle w:val="Agreement"/>
              <w:numPr>
                <w:ilvl w:val="0"/>
                <w:numId w:val="7"/>
              </w:numPr>
              <w:tabs>
                <w:tab w:val="clear" w:pos="1619"/>
                <w:tab w:val="clear" w:pos="8730"/>
                <w:tab w:val="num" w:pos="360"/>
              </w:tabs>
              <w:spacing w:after="0" w:line="240" w:lineRule="auto"/>
              <w:ind w:left="360"/>
              <w:rPr>
                <w:rFonts w:ascii="Times New Roman" w:hAnsi="Times New Roman"/>
                <w:b w:val="0"/>
                <w:sz w:val="18"/>
                <w:lang w:eastAsia="zh-CN"/>
              </w:rPr>
            </w:pPr>
            <w:r w:rsidRPr="001F2F49">
              <w:rPr>
                <w:rFonts w:ascii="Times New Roman" w:hAnsi="Times New Roman"/>
                <w:b w:val="0"/>
                <w:sz w:val="18"/>
                <w:lang w:eastAsia="zh-CN"/>
              </w:rPr>
              <w:t>FFS on the following options</w:t>
            </w:r>
          </w:p>
          <w:p w14:paraId="6EE03FE1" w14:textId="77777777" w:rsidR="00F519AE" w:rsidRPr="001F2F49" w:rsidRDefault="00F519AE" w:rsidP="00F519AE">
            <w:pPr>
              <w:pStyle w:val="Agreement"/>
              <w:ind w:left="360" w:firstLine="0"/>
              <w:rPr>
                <w:rFonts w:ascii="Times New Roman" w:hAnsi="Times New Roman"/>
                <w:b w:val="0"/>
                <w:sz w:val="18"/>
                <w:lang w:eastAsia="zh-CN"/>
              </w:rPr>
            </w:pPr>
            <w:r w:rsidRPr="001F2F49">
              <w:rPr>
                <w:rFonts w:ascii="Times New Roman" w:hAnsi="Times New Roman"/>
                <w:b w:val="0"/>
                <w:sz w:val="18"/>
                <w:lang w:eastAsia="zh-CN"/>
              </w:rPr>
              <w:t>- Option 1: The subgrouping number for UE_ID based PEI subgrouping is considered in the formula for UE_ID based LP-WUS subgrouping.</w:t>
            </w:r>
          </w:p>
          <w:p w14:paraId="2BFF7E2B" w14:textId="77777777" w:rsidR="00F519AE" w:rsidRPr="001F2F49" w:rsidRDefault="00F519AE" w:rsidP="00F519AE">
            <w:pPr>
              <w:pStyle w:val="Agreement"/>
              <w:ind w:left="360" w:firstLine="0"/>
              <w:rPr>
                <w:rFonts w:ascii="Times New Roman" w:hAnsi="Times New Roman"/>
                <w:b w:val="0"/>
                <w:sz w:val="18"/>
                <w:lang w:eastAsia="zh-CN"/>
              </w:rPr>
            </w:pPr>
            <w:r w:rsidRPr="001F2F49">
              <w:rPr>
                <w:rFonts w:ascii="Times New Roman" w:hAnsi="Times New Roman"/>
                <w:b w:val="0"/>
                <w:sz w:val="18"/>
                <w:lang w:eastAsia="zh-CN"/>
              </w:rPr>
              <w:t xml:space="preserve">- Option 2 The subgrouping number for UE_ID LPWUS subgrouping includes an offset K which is configurable or fixed. </w:t>
            </w:r>
          </w:p>
          <w:p w14:paraId="78441629" w14:textId="4E61FB8C" w:rsidR="00F519AE" w:rsidRPr="00F519AE" w:rsidRDefault="00F519AE" w:rsidP="00F519AE">
            <w:pPr>
              <w:pStyle w:val="Agreement"/>
              <w:ind w:left="360" w:firstLine="0"/>
              <w:rPr>
                <w:rFonts w:ascii="Times New Roman" w:hAnsi="Times New Roman"/>
                <w:b w:val="0"/>
                <w:sz w:val="18"/>
                <w:lang w:eastAsia="zh-CN"/>
              </w:rPr>
            </w:pPr>
            <w:r w:rsidRPr="001F2F49">
              <w:rPr>
                <w:rFonts w:ascii="Times New Roman" w:hAnsi="Times New Roman"/>
                <w:b w:val="0"/>
                <w:sz w:val="18"/>
                <w:lang w:eastAsia="zh-CN"/>
              </w:rPr>
              <w:t>- Option 3: The formula for UE_ID based PEI subgrouping is reused.</w:t>
            </w:r>
          </w:p>
        </w:tc>
      </w:tr>
    </w:tbl>
    <w:p w14:paraId="145DC2C8" w14:textId="4F389B20" w:rsidR="007D4FF2" w:rsidRDefault="00AC039C">
      <w:pPr>
        <w:spacing w:before="100"/>
        <w:rPr>
          <w:sz w:val="20"/>
          <w:szCs w:val="20"/>
          <w:lang w:val="en-US" w:eastAsia="zh-CN"/>
        </w:rPr>
      </w:pPr>
      <w:r>
        <w:rPr>
          <w:sz w:val="20"/>
          <w:szCs w:val="20"/>
          <w:lang w:val="en-US" w:eastAsia="zh-CN"/>
        </w:rPr>
        <w:t xml:space="preserve">This </w:t>
      </w:r>
      <w:r w:rsidR="006C01FC">
        <w:rPr>
          <w:sz w:val="20"/>
          <w:szCs w:val="20"/>
          <w:lang w:val="en-US" w:eastAsia="zh-CN"/>
        </w:rPr>
        <w:t>contribution</w:t>
      </w:r>
      <w:bookmarkStart w:id="6" w:name="OLE_LINK22"/>
      <w:r>
        <w:rPr>
          <w:sz w:val="20"/>
          <w:szCs w:val="20"/>
          <w:lang w:val="en-US" w:eastAsia="zh-CN"/>
        </w:rPr>
        <w:t xml:space="preserve"> further addressed the </w:t>
      </w:r>
      <w:r w:rsidR="006C01FC">
        <w:rPr>
          <w:rFonts w:hint="eastAsia"/>
          <w:sz w:val="20"/>
          <w:szCs w:val="20"/>
          <w:lang w:val="en-US" w:eastAsia="zh-CN"/>
        </w:rPr>
        <w:t>procedure and configuration of LP-WUS for IDLE/INACTIVE modes.</w:t>
      </w:r>
      <w:bookmarkEnd w:id="6"/>
    </w:p>
    <w:p w14:paraId="6C06260E"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5AEBB6B7" w14:textId="297482E9" w:rsidR="00F519AE" w:rsidRDefault="006C01FC">
      <w:pPr>
        <w:pStyle w:val="Heading2"/>
        <w:rPr>
          <w:sz w:val="28"/>
          <w:szCs w:val="28"/>
          <w:lang w:val="en-US" w:eastAsia="zh-CN"/>
        </w:rPr>
      </w:pPr>
      <w:r>
        <w:rPr>
          <w:sz w:val="28"/>
          <w:szCs w:val="28"/>
          <w:lang w:val="en-US" w:eastAsia="zh-CN"/>
        </w:rPr>
        <w:t>2.1</w:t>
      </w:r>
      <w:r w:rsidR="004D29B6">
        <w:rPr>
          <w:sz w:val="28"/>
          <w:szCs w:val="28"/>
          <w:lang w:val="en-US" w:eastAsia="zh-CN"/>
        </w:rPr>
        <w:t xml:space="preserve"> </w:t>
      </w:r>
      <w:r w:rsidR="009342F7">
        <w:rPr>
          <w:sz w:val="28"/>
          <w:szCs w:val="28"/>
          <w:lang w:val="en-US" w:eastAsia="zh-CN"/>
        </w:rPr>
        <w:t xml:space="preserve">LP-WUS </w:t>
      </w:r>
      <w:r w:rsidR="00D93A65">
        <w:rPr>
          <w:sz w:val="28"/>
          <w:szCs w:val="28"/>
          <w:lang w:val="en-US" w:eastAsia="zh-CN"/>
        </w:rPr>
        <w:t>S</w:t>
      </w:r>
      <w:r w:rsidR="00F519AE">
        <w:rPr>
          <w:sz w:val="28"/>
          <w:szCs w:val="28"/>
          <w:lang w:val="en-US" w:eastAsia="zh-CN"/>
        </w:rPr>
        <w:t>ubgrouping:</w:t>
      </w:r>
    </w:p>
    <w:p w14:paraId="02DFE85D" w14:textId="1B242A9D" w:rsidR="0016097C" w:rsidRPr="009342F7" w:rsidRDefault="002D5ADF" w:rsidP="009342F7">
      <w:pPr>
        <w:pStyle w:val="BodyText"/>
      </w:pPr>
      <w:r w:rsidRPr="009342F7">
        <w:t xml:space="preserve">In order </w:t>
      </w:r>
      <w:r w:rsidR="00610E76" w:rsidRPr="009342F7">
        <w:t xml:space="preserve">to reduce false alarm </w:t>
      </w:r>
      <w:r w:rsidR="00EA24B8" w:rsidRPr="009342F7">
        <w:t>for UEs in a particular PEI subgroup after</w:t>
      </w:r>
      <w:r w:rsidRPr="009342F7">
        <w:t xml:space="preserve"> network indicates UEs ins a LP-WUS subgroup to wake up</w:t>
      </w:r>
      <w:r w:rsidR="00EA24B8" w:rsidRPr="009342F7">
        <w:t xml:space="preserve">. </w:t>
      </w:r>
      <w:r w:rsidRPr="009342F7">
        <w:t>the LP-WUS subgroup ID should be different from PEI subgroup. In order to achieve this, the following formula for calculating LP-WUS subgroup ID is proposed:</w:t>
      </w:r>
    </w:p>
    <w:p w14:paraId="3FCB2C3F" w14:textId="6023E376" w:rsidR="002D5ADF" w:rsidRDefault="002D5ADF" w:rsidP="002D5ADF">
      <w:pPr>
        <w:pStyle w:val="BodyText"/>
        <w:rPr>
          <w:lang w:eastAsia="zh-CN"/>
        </w:rPr>
      </w:pPr>
      <w:r>
        <w:rPr>
          <w:lang w:eastAsia="zh-CN"/>
        </w:rPr>
        <w:t xml:space="preserve">LP-WUS </w:t>
      </w:r>
      <w:r w:rsidRPr="002D5ADF">
        <w:rPr>
          <w:lang w:eastAsia="zh-CN"/>
        </w:rPr>
        <w:t>Subgroup</w:t>
      </w:r>
      <w:r>
        <w:rPr>
          <w:lang w:eastAsia="zh-CN"/>
        </w:rPr>
        <w:t xml:space="preserve"> </w:t>
      </w:r>
      <w:r w:rsidRPr="002D5ADF">
        <w:rPr>
          <w:lang w:eastAsia="zh-CN"/>
        </w:rPr>
        <w:t>ID = (floor (UEID/(N*Ns*</w:t>
      </w:r>
      <w:r>
        <w:rPr>
          <w:lang w:eastAsia="zh-CN"/>
        </w:rPr>
        <w:t>peiSubgroupNum</w:t>
      </w:r>
      <w:r w:rsidRPr="002D5ADF">
        <w:rPr>
          <w:lang w:eastAsia="zh-CN"/>
        </w:rPr>
        <w:t>)) mod</w:t>
      </w:r>
      <w:r>
        <w:rPr>
          <w:lang w:eastAsia="zh-CN"/>
        </w:rPr>
        <w:t xml:space="preserve"> lpwusS</w:t>
      </w:r>
      <w:r w:rsidRPr="002D5ADF">
        <w:rPr>
          <w:lang w:eastAsia="zh-CN"/>
        </w:rPr>
        <w:t>ubgroupsNumUEID) + (</w:t>
      </w:r>
      <w:r>
        <w:rPr>
          <w:lang w:eastAsia="zh-CN"/>
        </w:rPr>
        <w:t>lpwusS</w:t>
      </w:r>
      <w:r w:rsidRPr="002D5ADF">
        <w:rPr>
          <w:lang w:eastAsia="zh-CN"/>
        </w:rPr>
        <w:t xml:space="preserve">ubgroupsNumPerPO – </w:t>
      </w:r>
      <w:r>
        <w:rPr>
          <w:lang w:eastAsia="zh-CN"/>
        </w:rPr>
        <w:t>lpwusS</w:t>
      </w:r>
      <w:r w:rsidRPr="002D5ADF">
        <w:rPr>
          <w:lang w:eastAsia="zh-CN"/>
        </w:rPr>
        <w:t>ubgroupsNumUEID)</w:t>
      </w:r>
      <w:r w:rsidR="0044729B">
        <w:rPr>
          <w:lang w:eastAsia="zh-CN"/>
        </w:rPr>
        <w:t xml:space="preserve">. </w:t>
      </w:r>
      <w:proofErr w:type="gramStart"/>
      <w:r>
        <w:t>Where</w:t>
      </w:r>
      <w:proofErr w:type="gramEnd"/>
      <w:r w:rsidR="0044729B">
        <w:t>,</w:t>
      </w:r>
      <w:r>
        <w:t xml:space="preserve"> </w:t>
      </w:r>
    </w:p>
    <w:p w14:paraId="3438743E" w14:textId="57B7C346" w:rsidR="002D5ADF" w:rsidRDefault="002D5ADF" w:rsidP="0044729B">
      <w:pPr>
        <w:pStyle w:val="BodyText"/>
        <w:numPr>
          <w:ilvl w:val="0"/>
          <w:numId w:val="23"/>
        </w:numPr>
      </w:pPr>
      <w:r>
        <w:t>UEID is derived from 5G-TMSI</w:t>
      </w:r>
    </w:p>
    <w:p w14:paraId="061466C8" w14:textId="0D2C1F31" w:rsidR="002D5ADF" w:rsidRDefault="002D5ADF" w:rsidP="0044729B">
      <w:pPr>
        <w:pStyle w:val="BodyText"/>
        <w:numPr>
          <w:ilvl w:val="0"/>
          <w:numId w:val="23"/>
        </w:numPr>
      </w:pPr>
      <w:r>
        <w:t xml:space="preserve">N is </w:t>
      </w:r>
      <w:bookmarkStart w:id="7" w:name="_Hlk189828248"/>
      <w:r>
        <w:t>num</w:t>
      </w:r>
      <w:r w:rsidR="002A5E3F">
        <w:t>ber of</w:t>
      </w:r>
      <w:bookmarkEnd w:id="7"/>
      <w:r>
        <w:t xml:space="preserve"> Paging Frames in a DRX cycle</w:t>
      </w:r>
    </w:p>
    <w:p w14:paraId="1097B96F" w14:textId="4C82D166" w:rsidR="002D5ADF" w:rsidRDefault="002D5ADF" w:rsidP="0044729B">
      <w:pPr>
        <w:pStyle w:val="BodyText"/>
        <w:numPr>
          <w:ilvl w:val="0"/>
          <w:numId w:val="23"/>
        </w:numPr>
      </w:pPr>
      <w:r>
        <w:t xml:space="preserve">Ns is </w:t>
      </w:r>
      <w:r w:rsidR="002A5E3F">
        <w:t xml:space="preserve">number of </w:t>
      </w:r>
      <w:r>
        <w:t>Paging occasion per PO</w:t>
      </w:r>
    </w:p>
    <w:p w14:paraId="3CDB08D6" w14:textId="351A42C7" w:rsidR="002A5E3F" w:rsidRDefault="002D5ADF" w:rsidP="0044729B">
      <w:pPr>
        <w:pStyle w:val="BodyText"/>
        <w:numPr>
          <w:ilvl w:val="0"/>
          <w:numId w:val="23"/>
        </w:numPr>
      </w:pPr>
      <w:r>
        <w:t xml:space="preserve">peiSubgroupNum is total </w:t>
      </w:r>
      <w:r w:rsidR="002A5E3F">
        <w:t xml:space="preserve">number of </w:t>
      </w:r>
      <w:r>
        <w:t>UEID based PEI subgroups, if UE does not support PEI and/or Network does not broadcast support PEI, this is</w:t>
      </w:r>
      <w:r w:rsidR="002A5E3F">
        <w:t xml:space="preserve"> taken as 1</w:t>
      </w:r>
    </w:p>
    <w:p w14:paraId="175F0A85" w14:textId="7B7301E5" w:rsidR="002D5ADF" w:rsidRDefault="002A5E3F" w:rsidP="0044729B">
      <w:pPr>
        <w:pStyle w:val="BodyText"/>
        <w:numPr>
          <w:ilvl w:val="0"/>
          <w:numId w:val="23"/>
        </w:numPr>
      </w:pPr>
      <w:r>
        <w:t>lpwusS</w:t>
      </w:r>
      <w:r w:rsidRPr="002D5ADF">
        <w:t>ubgroupsNumUEID</w:t>
      </w:r>
      <w:r>
        <w:t xml:space="preserve"> is number of UEID based LP-WUS subgroup </w:t>
      </w:r>
    </w:p>
    <w:p w14:paraId="7258E598" w14:textId="00239911" w:rsidR="002A5E3F" w:rsidRDefault="002A5E3F" w:rsidP="0044729B">
      <w:pPr>
        <w:pStyle w:val="BodyText"/>
        <w:numPr>
          <w:ilvl w:val="0"/>
          <w:numId w:val="23"/>
        </w:numPr>
      </w:pPr>
      <w:r>
        <w:t>lpwusS</w:t>
      </w:r>
      <w:r w:rsidRPr="002D5ADF">
        <w:t>ubgroupsNumPerPO</w:t>
      </w:r>
      <w:r>
        <w:t xml:space="preserve"> is total number of LP-WUS subgrouping supported in the cell.</w:t>
      </w:r>
    </w:p>
    <w:p w14:paraId="70B3E0CA" w14:textId="52FC3C38" w:rsidR="002A5E3F" w:rsidRPr="002A5E3F" w:rsidRDefault="002A5E3F" w:rsidP="002D5ADF">
      <w:pPr>
        <w:pStyle w:val="BodyText"/>
        <w:rPr>
          <w:b/>
          <w:bCs/>
          <w:lang w:eastAsia="zh-CN"/>
        </w:rPr>
      </w:pPr>
      <w:r w:rsidRPr="002A5E3F">
        <w:rPr>
          <w:b/>
          <w:bCs/>
          <w:lang w:eastAsia="zh-CN"/>
        </w:rPr>
        <w:lastRenderedPageBreak/>
        <w:t>Proposal 1: RAN2 to agree the following formula for LP-WUS subgroup ID calculation:</w:t>
      </w:r>
    </w:p>
    <w:p w14:paraId="3CDAE44F" w14:textId="3CB5BFA3" w:rsidR="002A5E3F" w:rsidRPr="002A5E3F" w:rsidRDefault="002A5E3F" w:rsidP="002A5E3F">
      <w:pPr>
        <w:pStyle w:val="BodyText"/>
        <w:ind w:left="1680"/>
        <w:rPr>
          <w:b/>
          <w:bCs/>
          <w:lang w:eastAsia="zh-CN"/>
        </w:rPr>
      </w:pPr>
      <w:r w:rsidRPr="002A5E3F">
        <w:rPr>
          <w:b/>
          <w:bCs/>
          <w:lang w:eastAsia="zh-CN"/>
        </w:rPr>
        <w:t>LP-WUS Subgroup ID = (floor (UEID/(N*Ns*peiSubgroupNum)) mod lpwusSubgroupsNumUEID) + (lpwusSubgroupsNumPerPO – lpwusSubgroupsNumUEID),</w:t>
      </w:r>
    </w:p>
    <w:p w14:paraId="07F166D8" w14:textId="53C48CC4" w:rsidR="004D29B6" w:rsidRDefault="00D93A65">
      <w:pPr>
        <w:pStyle w:val="Heading2"/>
        <w:rPr>
          <w:sz w:val="28"/>
          <w:szCs w:val="28"/>
          <w:lang w:val="en-US" w:eastAsia="zh-CN"/>
        </w:rPr>
      </w:pPr>
      <w:r>
        <w:rPr>
          <w:sz w:val="28"/>
          <w:szCs w:val="28"/>
          <w:lang w:val="en-US" w:eastAsia="zh-CN"/>
        </w:rPr>
        <w:t xml:space="preserve">2.2 </w:t>
      </w:r>
      <w:r w:rsidR="004D29B6">
        <w:rPr>
          <w:sz w:val="28"/>
          <w:szCs w:val="28"/>
          <w:lang w:val="en-US" w:eastAsia="zh-CN"/>
        </w:rPr>
        <w:t>Impact of UE not supporting L</w:t>
      </w:r>
      <w:r w:rsidR="00EA24B8">
        <w:rPr>
          <w:sz w:val="28"/>
          <w:szCs w:val="28"/>
          <w:lang w:val="en-US" w:eastAsia="zh-CN"/>
        </w:rPr>
        <w:t>R</w:t>
      </w:r>
      <w:r w:rsidR="004D29B6">
        <w:rPr>
          <w:sz w:val="28"/>
          <w:szCs w:val="28"/>
          <w:lang w:val="en-US" w:eastAsia="zh-CN"/>
        </w:rPr>
        <w:t xml:space="preserve"> on all bands </w:t>
      </w:r>
      <w:r w:rsidR="00EA24B8">
        <w:rPr>
          <w:sz w:val="28"/>
          <w:szCs w:val="28"/>
          <w:lang w:val="en-US" w:eastAsia="zh-CN"/>
        </w:rPr>
        <w:t>as MR</w:t>
      </w:r>
      <w:r w:rsidR="006C01FC">
        <w:rPr>
          <w:sz w:val="28"/>
          <w:szCs w:val="28"/>
          <w:lang w:val="en-US" w:eastAsia="zh-CN"/>
        </w:rPr>
        <w:t xml:space="preserve"> </w:t>
      </w:r>
    </w:p>
    <w:p w14:paraId="4D76A1B9" w14:textId="2D55EC9E" w:rsidR="001757AA" w:rsidRPr="009342F7" w:rsidRDefault="001757AA" w:rsidP="009342F7">
      <w:pPr>
        <w:pStyle w:val="BodyText"/>
      </w:pPr>
      <w:r w:rsidRPr="009342F7">
        <w:t>In RAN Plenary RAN#106, the issue of LR and MR not supporting same bands was discussed. The following way forward was agreed:</w:t>
      </w:r>
      <w:r w:rsidRPr="009342F7">
        <w:rPr>
          <w:rFonts w:hint="eastAsia"/>
        </w:rPr>
        <w:t xml:space="preserve"> </w:t>
      </w:r>
    </w:p>
    <w:tbl>
      <w:tblPr>
        <w:tblStyle w:val="TableGrid"/>
        <w:tblW w:w="0" w:type="auto"/>
        <w:tblLook w:val="04A0" w:firstRow="1" w:lastRow="0" w:firstColumn="1" w:lastColumn="0" w:noHBand="0" w:noVBand="1"/>
      </w:tblPr>
      <w:tblGrid>
        <w:gridCol w:w="9628"/>
      </w:tblGrid>
      <w:tr w:rsidR="001757AA" w:rsidRPr="009342F7" w14:paraId="4783972E" w14:textId="77777777" w:rsidTr="008F2433">
        <w:trPr>
          <w:trHeight w:val="403"/>
        </w:trPr>
        <w:tc>
          <w:tcPr>
            <w:tcW w:w="9628" w:type="dxa"/>
          </w:tcPr>
          <w:p w14:paraId="5B2722A0" w14:textId="77777777" w:rsidR="001757AA" w:rsidRPr="001757AA" w:rsidRDefault="001757AA" w:rsidP="009342F7">
            <w:pPr>
              <w:pStyle w:val="BodyText"/>
            </w:pPr>
            <w:r w:rsidRPr="001757AA">
              <w:t>For idle/inactive mode, consider a standardized solution for intra-frequency case (</w:t>
            </w:r>
            <w:proofErr w:type="gramStart"/>
            <w:r w:rsidRPr="001757AA">
              <w:t>e.g.</w:t>
            </w:r>
            <w:proofErr w:type="gramEnd"/>
            <w:r w:rsidRPr="001757AA">
              <w:t xml:space="preserve"> solution 1, 2, and 3 in RP-242656).  For Rel-19, inter-frequency solutions (</w:t>
            </w:r>
            <w:proofErr w:type="gramStart"/>
            <w:r w:rsidRPr="001757AA">
              <w:t>e.g.</w:t>
            </w:r>
            <w:proofErr w:type="gramEnd"/>
            <w:r w:rsidRPr="001757AA">
              <w:t xml:space="preserve"> solution 4) will not be considered.     </w:t>
            </w:r>
          </w:p>
          <w:p w14:paraId="07684DF6" w14:textId="77777777" w:rsidR="001757AA" w:rsidRPr="009342F7" w:rsidRDefault="001757AA" w:rsidP="009342F7">
            <w:pPr>
              <w:pStyle w:val="BodyText"/>
            </w:pPr>
            <w:r w:rsidRPr="009342F7">
              <w:t xml:space="preserve">Detailed discussions and final solution selection </w:t>
            </w:r>
            <w:proofErr w:type="gramStart"/>
            <w:r w:rsidRPr="009342F7">
              <w:t>is</w:t>
            </w:r>
            <w:proofErr w:type="gramEnd"/>
            <w:r w:rsidRPr="009342F7">
              <w:t xml:space="preserve"> left up to WGs.</w:t>
            </w:r>
          </w:p>
        </w:tc>
      </w:tr>
    </w:tbl>
    <w:p w14:paraId="05C3480B" w14:textId="77777777" w:rsidR="00551878" w:rsidRPr="009342F7" w:rsidRDefault="001757AA" w:rsidP="009342F7">
      <w:pPr>
        <w:pStyle w:val="BodyText"/>
      </w:pPr>
      <w:r w:rsidRPr="009342F7">
        <w:t xml:space="preserve">Solution 1: MR (re-)selects a cell to camp on which operates in same band as LR. No reselection </w:t>
      </w:r>
      <w:r w:rsidR="00351F77" w:rsidRPr="009342F7">
        <w:t>needed after reception of LP-WUS.</w:t>
      </w:r>
      <w:r w:rsidR="00551878" w:rsidRPr="009342F7">
        <w:t xml:space="preserve"> In Solution 1, the UE based on indication which can be part of SIB message, performs cell (re)selection to a cell which is operating on a band which is supported by both LR and MR. This could result in a case where crowding of UEs in one cell/band and might result in additional signaling by network to redirect the UEs for load balancing. </w:t>
      </w:r>
    </w:p>
    <w:p w14:paraId="4A9963D0" w14:textId="77777777" w:rsidR="00551878" w:rsidRPr="009342F7" w:rsidRDefault="00351F77" w:rsidP="009342F7">
      <w:pPr>
        <w:pStyle w:val="BodyText"/>
      </w:pPr>
      <w:r w:rsidRPr="009342F7">
        <w:t xml:space="preserve">Solution 2: MR (re-)selects a cell to camp for reception of SIB, LP-WUS and paging but performs legacy reselection to perform </w:t>
      </w:r>
      <w:r w:rsidR="00551878" w:rsidRPr="009342F7">
        <w:t xml:space="preserve">further MR operation such as </w:t>
      </w:r>
      <w:r w:rsidRPr="009342F7">
        <w:t>RACH</w:t>
      </w:r>
      <w:r w:rsidR="00551878" w:rsidRPr="009342F7">
        <w:t xml:space="preserve">. In solution 2. there can be additional delay after the reception of LP-WUS for UE to perform cell reselection if the current cell where UE received LP-WUS is not the best cell. </w:t>
      </w:r>
    </w:p>
    <w:p w14:paraId="24F8E590" w14:textId="77777777" w:rsidR="0016097C" w:rsidRPr="009342F7" w:rsidRDefault="00351F77" w:rsidP="009342F7">
      <w:pPr>
        <w:pStyle w:val="BodyText"/>
      </w:pPr>
      <w:r w:rsidRPr="009342F7">
        <w:t>Solution 3: Network controlled redirection to a cell which is operating in band supported by LR.</w:t>
      </w:r>
      <w:r w:rsidR="00551878" w:rsidRPr="009342F7">
        <w:t xml:space="preserve"> This solution has the minimal specification impact </w:t>
      </w:r>
      <w:r w:rsidR="0016097C" w:rsidRPr="009342F7">
        <w:t>as the UE just follow legacy reselection procedure and also gives control to network on handling crowding of UEs across bands.</w:t>
      </w:r>
    </w:p>
    <w:p w14:paraId="4FD639C1" w14:textId="3B043D30" w:rsidR="00351F77" w:rsidRPr="009342F7" w:rsidRDefault="0016097C" w:rsidP="00610E76">
      <w:pPr>
        <w:rPr>
          <w:rFonts w:eastAsia="MS Mincho"/>
          <w:b/>
          <w:bCs/>
          <w:kern w:val="0"/>
          <w:sz w:val="20"/>
        </w:rPr>
      </w:pPr>
      <w:bookmarkStart w:id="8" w:name="_Hlk189828989"/>
      <w:r w:rsidRPr="009342F7">
        <w:rPr>
          <w:rFonts w:eastAsia="MS Mincho"/>
          <w:b/>
          <w:bCs/>
          <w:kern w:val="0"/>
          <w:sz w:val="20"/>
        </w:rPr>
        <w:t xml:space="preserve">Proposal </w:t>
      </w:r>
      <w:r w:rsidR="002A5E3F" w:rsidRPr="009342F7">
        <w:rPr>
          <w:rFonts w:eastAsia="MS Mincho"/>
          <w:b/>
          <w:bCs/>
          <w:kern w:val="0"/>
          <w:sz w:val="20"/>
        </w:rPr>
        <w:t>2</w:t>
      </w:r>
      <w:r w:rsidRPr="009342F7">
        <w:rPr>
          <w:rFonts w:eastAsia="MS Mincho"/>
          <w:b/>
          <w:bCs/>
          <w:kern w:val="0"/>
          <w:sz w:val="20"/>
        </w:rPr>
        <w:t xml:space="preserve">: RAN2 to agree that the issue of LR and MR not supporting same bands (intra-frequency case) is handled by network implementation with no spec impact. </w:t>
      </w:r>
    </w:p>
    <w:bookmarkEnd w:id="8"/>
    <w:p w14:paraId="3796B0FA" w14:textId="558461A9" w:rsidR="007D4FF2" w:rsidRDefault="006C01FC">
      <w:pPr>
        <w:pStyle w:val="Heading2"/>
        <w:rPr>
          <w:sz w:val="28"/>
          <w:szCs w:val="28"/>
          <w:lang w:val="en-US" w:eastAsia="zh-CN"/>
        </w:rPr>
      </w:pPr>
      <w:r>
        <w:rPr>
          <w:sz w:val="28"/>
          <w:szCs w:val="28"/>
          <w:lang w:val="en-US" w:eastAsia="zh-CN"/>
        </w:rPr>
        <w:t>2.</w:t>
      </w:r>
      <w:r w:rsidR="00D93A65">
        <w:rPr>
          <w:sz w:val="28"/>
          <w:szCs w:val="28"/>
          <w:lang w:val="en-US" w:eastAsia="zh-CN"/>
        </w:rPr>
        <w:t>3</w:t>
      </w:r>
      <w:r>
        <w:rPr>
          <w:sz w:val="28"/>
          <w:szCs w:val="28"/>
          <w:lang w:val="en-US" w:eastAsia="zh-CN"/>
        </w:rPr>
        <w:t xml:space="preserve"> </w:t>
      </w:r>
      <w:bookmarkStart w:id="9" w:name="_Hlk181968004"/>
      <w:r w:rsidR="00CC055E">
        <w:rPr>
          <w:sz w:val="28"/>
          <w:szCs w:val="28"/>
          <w:lang w:val="en-US" w:eastAsia="zh-CN"/>
        </w:rPr>
        <w:t>Entry/Exit criteria for using LR</w:t>
      </w:r>
      <w:bookmarkEnd w:id="9"/>
      <w:r w:rsidR="00CC055E">
        <w:rPr>
          <w:sz w:val="28"/>
          <w:szCs w:val="28"/>
          <w:lang w:val="en-US" w:eastAsia="zh-CN"/>
        </w:rPr>
        <w:t>:</w:t>
      </w:r>
    </w:p>
    <w:p w14:paraId="7ADC0A8D" w14:textId="420EEAA4" w:rsidR="00CC055E" w:rsidRPr="009342F7" w:rsidRDefault="00CC055E" w:rsidP="00CC055E">
      <w:pPr>
        <w:rPr>
          <w:rFonts w:eastAsia="MS Mincho"/>
          <w:kern w:val="0"/>
          <w:sz w:val="20"/>
        </w:rPr>
      </w:pPr>
      <w:r w:rsidRPr="009342F7">
        <w:rPr>
          <w:rFonts w:eastAsia="MS Mincho"/>
          <w:kern w:val="0"/>
          <w:sz w:val="20"/>
        </w:rPr>
        <w:t xml:space="preserve">The main advantage of using LR to monitor wake up indication is that MR can move to ultra-deep sleep/ deep sleep state to save power. The currently agreed entry and exit conditions only consider the signal qualities of LP-SS/SSB measured by LR/MR. Considering just the thresholds might lead to ping-pong effect of moving between use of LR and MR resulting in </w:t>
      </w:r>
      <w:r w:rsidR="00FC072E" w:rsidRPr="009342F7">
        <w:rPr>
          <w:rFonts w:eastAsia="MS Mincho"/>
          <w:kern w:val="0"/>
          <w:sz w:val="20"/>
        </w:rPr>
        <w:t xml:space="preserve">UE not having sufficient time to move to between sleep states. This can even result in adverse effect as there is power penalty associated with transition between sleep states. In order to overcome this, we propose to reuse the similar principle used in Rel16 relaxed measurement criteria where there is a time period configured for which the evaluation criteria </w:t>
      </w:r>
      <w:r w:rsidR="0010030F" w:rsidRPr="009342F7">
        <w:rPr>
          <w:rFonts w:eastAsia="MS Mincho"/>
          <w:kern w:val="0"/>
          <w:sz w:val="20"/>
        </w:rPr>
        <w:t>need</w:t>
      </w:r>
      <w:r w:rsidR="00FC072E" w:rsidRPr="009342F7">
        <w:rPr>
          <w:rFonts w:eastAsia="MS Mincho"/>
          <w:kern w:val="0"/>
          <w:sz w:val="20"/>
        </w:rPr>
        <w:t xml:space="preserve"> to be satisfied to consider the condition as fulfilled. </w:t>
      </w:r>
    </w:p>
    <w:p w14:paraId="20F7C9A2" w14:textId="695EB4BF" w:rsidR="00FC072E" w:rsidRPr="009342F7" w:rsidRDefault="00FC072E" w:rsidP="00FC072E">
      <w:pPr>
        <w:pStyle w:val="BodyText"/>
        <w:rPr>
          <w:b/>
          <w:bCs/>
        </w:rPr>
      </w:pPr>
      <w:r w:rsidRPr="009342F7">
        <w:rPr>
          <w:b/>
          <w:bCs/>
        </w:rPr>
        <w:t xml:space="preserve">Proposal </w:t>
      </w:r>
      <w:r w:rsidR="009342F7" w:rsidRPr="009342F7">
        <w:rPr>
          <w:b/>
          <w:bCs/>
        </w:rPr>
        <w:t>3</w:t>
      </w:r>
      <w:r w:rsidRPr="009342F7">
        <w:rPr>
          <w:b/>
          <w:bCs/>
        </w:rPr>
        <w:t xml:space="preserve">: RAN2 to consider evaluation time period for which the entry/exit conditions </w:t>
      </w:r>
      <w:proofErr w:type="gramStart"/>
      <w:r w:rsidRPr="009342F7">
        <w:rPr>
          <w:b/>
          <w:bCs/>
        </w:rPr>
        <w:t>needs</w:t>
      </w:r>
      <w:proofErr w:type="gramEnd"/>
      <w:r w:rsidRPr="009342F7">
        <w:rPr>
          <w:b/>
          <w:bCs/>
        </w:rPr>
        <w:t xml:space="preserve"> to be satisfied to switch between LR/MR. </w:t>
      </w:r>
    </w:p>
    <w:p w14:paraId="3A03EEAB" w14:textId="62E46952" w:rsidR="007D4FF2" w:rsidRDefault="006C01FC">
      <w:pPr>
        <w:pStyle w:val="Heading2"/>
        <w:rPr>
          <w:rFonts w:cs="Arial"/>
          <w:b/>
          <w:bCs/>
          <w:szCs w:val="20"/>
          <w:lang w:val="en-US" w:eastAsia="zh-CN"/>
        </w:rPr>
      </w:pPr>
      <w:r>
        <w:rPr>
          <w:sz w:val="28"/>
          <w:szCs w:val="28"/>
          <w:lang w:val="en-US" w:eastAsia="zh-CN"/>
        </w:rPr>
        <w:lastRenderedPageBreak/>
        <w:t>2.</w:t>
      </w:r>
      <w:r w:rsidR="00D93A65">
        <w:rPr>
          <w:sz w:val="28"/>
          <w:szCs w:val="28"/>
          <w:lang w:val="en-US" w:eastAsia="zh-CN"/>
        </w:rPr>
        <w:t>4</w:t>
      </w:r>
      <w:r w:rsidR="00BD4437">
        <w:rPr>
          <w:sz w:val="28"/>
          <w:szCs w:val="28"/>
          <w:lang w:val="en-US" w:eastAsia="zh-CN"/>
        </w:rPr>
        <w:t xml:space="preserve"> LO and </w:t>
      </w:r>
      <w:r>
        <w:rPr>
          <w:sz w:val="28"/>
          <w:szCs w:val="28"/>
          <w:lang w:val="en-US" w:eastAsia="zh-CN"/>
        </w:rPr>
        <w:t>PO</w:t>
      </w:r>
      <w:r w:rsidR="00BD4437">
        <w:rPr>
          <w:sz w:val="28"/>
          <w:szCs w:val="28"/>
          <w:lang w:val="en-US" w:eastAsia="zh-CN"/>
        </w:rPr>
        <w:t xml:space="preserve"> association</w:t>
      </w:r>
    </w:p>
    <w:p w14:paraId="52B54EAA" w14:textId="1FBF9AF6" w:rsidR="00F46220" w:rsidRDefault="00F46220">
      <w:pPr>
        <w:rPr>
          <w:rFonts w:eastAsia="MS Mincho"/>
          <w:kern w:val="0"/>
          <w:sz w:val="20"/>
        </w:rPr>
      </w:pPr>
      <w:r>
        <w:rPr>
          <w:rFonts w:eastAsia="MS Mincho"/>
          <w:kern w:val="0"/>
          <w:sz w:val="20"/>
        </w:rPr>
        <w:t xml:space="preserve">RAN1 </w:t>
      </w:r>
      <w:r w:rsidR="008F72EB">
        <w:rPr>
          <w:rFonts w:eastAsia="MS Mincho"/>
          <w:kern w:val="0"/>
          <w:sz w:val="20"/>
        </w:rPr>
        <w:t xml:space="preserve">in R1#118bis agreed to discuss </w:t>
      </w:r>
      <w:r>
        <w:rPr>
          <w:rFonts w:eastAsia="MS Mincho"/>
          <w:kern w:val="0"/>
          <w:sz w:val="20"/>
        </w:rPr>
        <w:t xml:space="preserve">the following options for determining the association of LO </w:t>
      </w:r>
      <w:r w:rsidR="008F72EB">
        <w:rPr>
          <w:rFonts w:eastAsia="MS Mincho"/>
          <w:kern w:val="0"/>
          <w:sz w:val="20"/>
        </w:rPr>
        <w:t xml:space="preserve">with a </w:t>
      </w:r>
      <w:r>
        <w:rPr>
          <w:rFonts w:eastAsia="MS Mincho"/>
          <w:kern w:val="0"/>
          <w:sz w:val="20"/>
        </w:rPr>
        <w:t>PO:</w:t>
      </w:r>
    </w:p>
    <w:tbl>
      <w:tblPr>
        <w:tblStyle w:val="TableGrid"/>
        <w:tblW w:w="0" w:type="auto"/>
        <w:tblLook w:val="04A0" w:firstRow="1" w:lastRow="0" w:firstColumn="1" w:lastColumn="0" w:noHBand="0" w:noVBand="1"/>
      </w:tblPr>
      <w:tblGrid>
        <w:gridCol w:w="9628"/>
      </w:tblGrid>
      <w:tr w:rsidR="00F46220" w14:paraId="1EA6012F" w14:textId="77777777" w:rsidTr="008E18AD">
        <w:trPr>
          <w:trHeight w:val="403"/>
        </w:trPr>
        <w:tc>
          <w:tcPr>
            <w:tcW w:w="9854" w:type="dxa"/>
          </w:tcPr>
          <w:p w14:paraId="737260B2" w14:textId="77777777" w:rsidR="0006132A" w:rsidRDefault="0006132A" w:rsidP="0006132A">
            <w:pPr>
              <w:widowControl/>
              <w:numPr>
                <w:ilvl w:val="0"/>
                <w:numId w:val="19"/>
              </w:numPr>
              <w:spacing w:after="0" w:line="240" w:lineRule="auto"/>
              <w:jc w:val="left"/>
              <w:rPr>
                <w:rFonts w:ascii="Times New Roman" w:eastAsia="Batang" w:hAnsi="Times New Roman"/>
                <w:kern w:val="0"/>
                <w:sz w:val="20"/>
                <w:szCs w:val="20"/>
                <w:lang w:eastAsia="x-none"/>
              </w:rPr>
            </w:pPr>
            <w:r>
              <w:rPr>
                <w:rFonts w:ascii="Times New Roman" w:hAnsi="Times New Roman"/>
                <w:szCs w:val="20"/>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05F47199" w14:textId="77777777" w:rsidR="0006132A" w:rsidRDefault="0006132A" w:rsidP="0006132A">
            <w:pPr>
              <w:widowControl/>
              <w:numPr>
                <w:ilvl w:val="0"/>
                <w:numId w:val="19"/>
              </w:numPr>
              <w:spacing w:after="0" w:line="240" w:lineRule="auto"/>
              <w:jc w:val="left"/>
              <w:rPr>
                <w:rFonts w:ascii="Times New Roman" w:hAnsi="Times New Roman"/>
                <w:szCs w:val="20"/>
                <w:lang w:eastAsia="x-none"/>
              </w:rPr>
            </w:pPr>
            <w:r>
              <w:rPr>
                <w:rFonts w:ascii="Times New Roman" w:hAnsi="Times New Roman"/>
                <w:szCs w:val="20"/>
                <w:lang w:eastAsia="x-none"/>
              </w:rPr>
              <w:t>Option 1: gNB configures a single offset value.</w:t>
            </w:r>
          </w:p>
          <w:p w14:paraId="0DB6A179" w14:textId="77777777" w:rsidR="0006132A" w:rsidRDefault="0006132A" w:rsidP="0006132A">
            <w:pPr>
              <w:widowControl/>
              <w:numPr>
                <w:ilvl w:val="1"/>
                <w:numId w:val="19"/>
              </w:numPr>
              <w:spacing w:after="0" w:line="240" w:lineRule="auto"/>
              <w:jc w:val="left"/>
              <w:rPr>
                <w:rFonts w:ascii="Times New Roman" w:hAnsi="Times New Roman"/>
                <w:szCs w:val="20"/>
                <w:lang w:eastAsia="x-none"/>
              </w:rPr>
            </w:pPr>
            <w:r>
              <w:rPr>
                <w:rFonts w:ascii="Times New Roman" w:hAnsi="Times New Roman"/>
                <w:szCs w:val="20"/>
                <w:lang w:eastAsia="x-none"/>
              </w:rPr>
              <w:t xml:space="preserve">If the gap between an LO and the PO </w:t>
            </w:r>
            <w:r>
              <w:rPr>
                <w:rFonts w:ascii="Times New Roman" w:hAnsi="Times New Roman"/>
                <w:szCs w:val="20"/>
                <w:lang w:val="en-US" w:eastAsia="x-none"/>
              </w:rPr>
              <w:t>associated with the offset</w:t>
            </w:r>
            <w:r>
              <w:rPr>
                <w:rFonts w:ascii="Times New Roman" w:hAnsi="Times New Roman"/>
                <w:szCs w:val="20"/>
                <w:lang w:eastAsia="x-none"/>
              </w:rPr>
              <w:t xml:space="preserve"> is no less than the wake-up delay a UE supports, the UE monitors the PO associated with the offset after receiving a wake-up indication in a LP-WUS.</w:t>
            </w:r>
          </w:p>
          <w:p w14:paraId="325D5CD9" w14:textId="77777777" w:rsidR="0006132A" w:rsidRDefault="0006132A" w:rsidP="0006132A">
            <w:pPr>
              <w:widowControl/>
              <w:numPr>
                <w:ilvl w:val="1"/>
                <w:numId w:val="19"/>
              </w:numPr>
              <w:spacing w:after="0" w:line="240" w:lineRule="auto"/>
              <w:jc w:val="left"/>
              <w:rPr>
                <w:rFonts w:ascii="Times New Roman" w:hAnsi="Times New Roman"/>
                <w:szCs w:val="20"/>
                <w:lang w:eastAsia="x-none"/>
              </w:rPr>
            </w:pPr>
            <w:r>
              <w:rPr>
                <w:rFonts w:ascii="Times New Roman" w:hAnsi="Times New Roman"/>
                <w:szCs w:val="20"/>
                <w:lang w:eastAsia="x-none"/>
              </w:rPr>
              <w:t>Otherwise,</w:t>
            </w:r>
          </w:p>
          <w:p w14:paraId="42BFCC05" w14:textId="77777777" w:rsidR="0006132A" w:rsidRDefault="0006132A" w:rsidP="0006132A">
            <w:pPr>
              <w:widowControl/>
              <w:numPr>
                <w:ilvl w:val="2"/>
                <w:numId w:val="19"/>
              </w:numPr>
              <w:spacing w:after="0" w:line="240" w:lineRule="auto"/>
              <w:jc w:val="left"/>
              <w:rPr>
                <w:rFonts w:ascii="Times New Roman" w:hAnsi="Times New Roman"/>
                <w:szCs w:val="20"/>
                <w:lang w:eastAsia="x-none"/>
              </w:rPr>
            </w:pPr>
            <w:r>
              <w:rPr>
                <w:rFonts w:ascii="Times New Roman" w:hAnsi="Times New Roman"/>
                <w:szCs w:val="20"/>
                <w:lang w:eastAsia="x-none"/>
              </w:rPr>
              <w:t>Option 1-1: the UE follows the legacy paging monitoring procedure.</w:t>
            </w:r>
          </w:p>
          <w:p w14:paraId="5302B7D4" w14:textId="77777777" w:rsidR="0006132A" w:rsidRDefault="0006132A" w:rsidP="0006132A">
            <w:pPr>
              <w:widowControl/>
              <w:numPr>
                <w:ilvl w:val="2"/>
                <w:numId w:val="19"/>
              </w:numPr>
              <w:spacing w:after="0" w:line="240" w:lineRule="auto"/>
              <w:jc w:val="left"/>
              <w:rPr>
                <w:rFonts w:ascii="Times New Roman" w:hAnsi="Times New Roman"/>
                <w:szCs w:val="20"/>
                <w:lang w:eastAsia="x-none"/>
              </w:rPr>
            </w:pPr>
            <w:r>
              <w:rPr>
                <w:rFonts w:ascii="Times New Roman" w:hAnsi="Times New Roman"/>
                <w:szCs w:val="20"/>
                <w:lang w:eastAsia="x-none"/>
              </w:rPr>
              <w:t>Option 1-2: the UE monitors LP-WUS. If it receives a wake-up indication in a LP-WUS, it monitors the first PO after its reported wake-up delay.</w:t>
            </w:r>
          </w:p>
          <w:p w14:paraId="2A531BF4" w14:textId="77777777" w:rsidR="0006132A" w:rsidRDefault="0006132A" w:rsidP="0006132A">
            <w:pPr>
              <w:widowControl/>
              <w:numPr>
                <w:ilvl w:val="0"/>
                <w:numId w:val="19"/>
              </w:numPr>
              <w:spacing w:after="0" w:line="240" w:lineRule="auto"/>
              <w:jc w:val="left"/>
              <w:rPr>
                <w:rFonts w:ascii="Times New Roman" w:hAnsi="Times New Roman"/>
                <w:szCs w:val="20"/>
                <w:lang w:eastAsia="x-none"/>
              </w:rPr>
            </w:pPr>
            <w:r>
              <w:rPr>
                <w:rFonts w:ascii="Times New Roman" w:hAnsi="Times New Roman"/>
                <w:szCs w:val="20"/>
                <w:lang w:eastAsia="x-none"/>
              </w:rPr>
              <w:t>Option 2: gNB configures one or multiple offset values.</w:t>
            </w:r>
          </w:p>
          <w:p w14:paraId="5164349C" w14:textId="77777777" w:rsidR="0006132A" w:rsidRDefault="0006132A" w:rsidP="0006132A">
            <w:pPr>
              <w:widowControl/>
              <w:numPr>
                <w:ilvl w:val="1"/>
                <w:numId w:val="19"/>
              </w:numPr>
              <w:spacing w:after="0" w:line="240" w:lineRule="auto"/>
              <w:jc w:val="left"/>
              <w:rPr>
                <w:rFonts w:ascii="Times New Roman" w:hAnsi="Times New Roman"/>
                <w:szCs w:val="20"/>
                <w:lang w:eastAsia="x-none"/>
              </w:rPr>
            </w:pPr>
            <w:r>
              <w:rPr>
                <w:rFonts w:ascii="Times New Roman" w:hAnsi="Times New Roman"/>
                <w:szCs w:val="20"/>
                <w:lang w:eastAsia="x-none"/>
              </w:rPr>
              <w:t>For the same PO, each offset corresponds to a LO.</w:t>
            </w:r>
          </w:p>
          <w:p w14:paraId="0C431DC4" w14:textId="77777777" w:rsidR="0006132A" w:rsidRDefault="0006132A" w:rsidP="0006132A">
            <w:pPr>
              <w:widowControl/>
              <w:numPr>
                <w:ilvl w:val="2"/>
                <w:numId w:val="19"/>
              </w:numPr>
              <w:spacing w:after="0" w:line="240" w:lineRule="auto"/>
              <w:jc w:val="left"/>
              <w:rPr>
                <w:rFonts w:ascii="Times New Roman" w:hAnsi="Times New Roman"/>
                <w:szCs w:val="20"/>
                <w:lang w:eastAsia="x-none"/>
              </w:rPr>
            </w:pPr>
            <w:r>
              <w:rPr>
                <w:rFonts w:ascii="Times New Roman" w:hAnsi="Times New Roman"/>
                <w:szCs w:val="20"/>
                <w:lang w:eastAsia="x-none"/>
              </w:rPr>
              <w:t>This does not preclude the possibility that the same LO may correspond to different POs with different offset values.</w:t>
            </w:r>
          </w:p>
          <w:p w14:paraId="05D99A8F" w14:textId="77777777" w:rsidR="0006132A" w:rsidRDefault="0006132A" w:rsidP="0006132A">
            <w:pPr>
              <w:widowControl/>
              <w:numPr>
                <w:ilvl w:val="1"/>
                <w:numId w:val="19"/>
              </w:numPr>
              <w:spacing w:after="0" w:line="240" w:lineRule="auto"/>
              <w:jc w:val="left"/>
              <w:rPr>
                <w:rFonts w:ascii="Times New Roman" w:hAnsi="Times New Roman"/>
                <w:szCs w:val="20"/>
                <w:lang w:eastAsia="x-none"/>
              </w:rPr>
            </w:pPr>
            <w:r>
              <w:rPr>
                <w:rFonts w:ascii="Times New Roman" w:hAnsi="Times New Roman"/>
                <w:szCs w:val="20"/>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80B15D4" w14:textId="77777777" w:rsidR="0006132A" w:rsidRDefault="0006132A" w:rsidP="0006132A">
            <w:pPr>
              <w:widowControl/>
              <w:numPr>
                <w:ilvl w:val="2"/>
                <w:numId w:val="19"/>
              </w:numPr>
              <w:spacing w:after="0" w:line="240" w:lineRule="auto"/>
              <w:jc w:val="left"/>
              <w:rPr>
                <w:rFonts w:ascii="Times New Roman" w:hAnsi="Times New Roman"/>
                <w:szCs w:val="20"/>
                <w:lang w:eastAsia="x-none"/>
              </w:rPr>
            </w:pPr>
            <w:r>
              <w:rPr>
                <w:rFonts w:ascii="Times New Roman" w:hAnsi="Times New Roman"/>
                <w:szCs w:val="20"/>
                <w:lang w:eastAsia="x-none"/>
              </w:rPr>
              <w:t>This implies that the gNB needs to configure at least one offset value that is no less than the largest wake-up delay supported by the UEs.</w:t>
            </w:r>
          </w:p>
          <w:p w14:paraId="2C510A22" w14:textId="77777777" w:rsidR="0006132A" w:rsidRDefault="0006132A" w:rsidP="0006132A">
            <w:pPr>
              <w:widowControl/>
              <w:numPr>
                <w:ilvl w:val="2"/>
                <w:numId w:val="19"/>
              </w:numPr>
              <w:spacing w:after="0" w:line="240" w:lineRule="auto"/>
              <w:jc w:val="left"/>
              <w:rPr>
                <w:rFonts w:ascii="Times New Roman" w:hAnsi="Times New Roman"/>
                <w:szCs w:val="20"/>
                <w:lang w:eastAsia="x-none"/>
              </w:rPr>
            </w:pPr>
            <w:r>
              <w:rPr>
                <w:rFonts w:ascii="Times New Roman" w:hAnsi="Times New Roman"/>
                <w:szCs w:val="20"/>
                <w:lang w:eastAsia="x-none"/>
              </w:rPr>
              <w:t>FFS exactly how to choose the offset</w:t>
            </w:r>
          </w:p>
          <w:p w14:paraId="3BFE82F5" w14:textId="77777777" w:rsidR="0006132A" w:rsidRDefault="0006132A" w:rsidP="0006132A">
            <w:pPr>
              <w:widowControl/>
              <w:numPr>
                <w:ilvl w:val="1"/>
                <w:numId w:val="19"/>
              </w:numPr>
              <w:spacing w:after="0" w:line="240" w:lineRule="auto"/>
              <w:jc w:val="left"/>
              <w:rPr>
                <w:rFonts w:ascii="Times New Roman" w:hAnsi="Times New Roman"/>
                <w:szCs w:val="20"/>
                <w:lang w:eastAsia="x-none"/>
              </w:rPr>
            </w:pPr>
            <w:r>
              <w:rPr>
                <w:rFonts w:ascii="Times New Roman" w:hAnsi="Times New Roman"/>
                <w:szCs w:val="20"/>
                <w:lang w:eastAsia="x-none"/>
              </w:rPr>
              <w:t>Option 2B:</w:t>
            </w:r>
          </w:p>
          <w:p w14:paraId="2DF2CB38" w14:textId="77777777" w:rsidR="0006132A" w:rsidRDefault="0006132A" w:rsidP="0006132A">
            <w:pPr>
              <w:widowControl/>
              <w:numPr>
                <w:ilvl w:val="2"/>
                <w:numId w:val="19"/>
              </w:numPr>
              <w:spacing w:after="0" w:line="240" w:lineRule="auto"/>
              <w:jc w:val="left"/>
              <w:rPr>
                <w:rFonts w:ascii="Times New Roman" w:hAnsi="Times New Roman"/>
                <w:szCs w:val="20"/>
                <w:lang w:eastAsia="x-none"/>
              </w:rPr>
            </w:pPr>
            <w:r>
              <w:rPr>
                <w:rFonts w:ascii="Times New Roman" w:hAnsi="Times New Roman"/>
                <w:szCs w:val="20"/>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566AF17E" w14:textId="77777777" w:rsidR="0006132A" w:rsidRDefault="0006132A" w:rsidP="0006132A">
            <w:pPr>
              <w:widowControl/>
              <w:numPr>
                <w:ilvl w:val="3"/>
                <w:numId w:val="19"/>
              </w:numPr>
              <w:spacing w:after="0" w:line="240" w:lineRule="auto"/>
              <w:jc w:val="left"/>
              <w:rPr>
                <w:rFonts w:ascii="Times New Roman" w:hAnsi="Times New Roman"/>
                <w:szCs w:val="20"/>
                <w:lang w:eastAsia="x-none"/>
              </w:rPr>
            </w:pPr>
            <w:r>
              <w:rPr>
                <w:rFonts w:ascii="Times New Roman" w:hAnsi="Times New Roman"/>
                <w:szCs w:val="20"/>
                <w:lang w:eastAsia="x-none"/>
              </w:rPr>
              <w:t>FFS exactly how to choose the offset</w:t>
            </w:r>
          </w:p>
          <w:p w14:paraId="5FBF59EB" w14:textId="77777777" w:rsidR="0006132A" w:rsidRDefault="0006132A" w:rsidP="0006132A">
            <w:pPr>
              <w:widowControl/>
              <w:numPr>
                <w:ilvl w:val="2"/>
                <w:numId w:val="19"/>
              </w:numPr>
              <w:spacing w:after="0" w:line="240" w:lineRule="auto"/>
              <w:jc w:val="left"/>
              <w:rPr>
                <w:rFonts w:ascii="Times New Roman" w:hAnsi="Times New Roman"/>
                <w:szCs w:val="20"/>
                <w:lang w:eastAsia="x-none"/>
              </w:rPr>
            </w:pPr>
            <w:r>
              <w:rPr>
                <w:rFonts w:ascii="Times New Roman" w:hAnsi="Times New Roman"/>
                <w:szCs w:val="20"/>
                <w:lang w:eastAsia="x-none"/>
              </w:rPr>
              <w:t>Otherwise,</w:t>
            </w:r>
          </w:p>
          <w:p w14:paraId="4AE982D5" w14:textId="77777777" w:rsidR="0006132A" w:rsidRDefault="0006132A" w:rsidP="0006132A">
            <w:pPr>
              <w:widowControl/>
              <w:numPr>
                <w:ilvl w:val="3"/>
                <w:numId w:val="19"/>
              </w:numPr>
              <w:spacing w:after="0" w:line="240" w:lineRule="auto"/>
              <w:jc w:val="left"/>
              <w:rPr>
                <w:rFonts w:ascii="Times New Roman" w:hAnsi="Times New Roman"/>
                <w:szCs w:val="20"/>
                <w:lang w:eastAsia="x-none"/>
              </w:rPr>
            </w:pPr>
            <w:r>
              <w:rPr>
                <w:rFonts w:ascii="Times New Roman" w:hAnsi="Times New Roman"/>
                <w:szCs w:val="20"/>
                <w:lang w:eastAsia="x-none"/>
              </w:rPr>
              <w:t>Option 2B-1: the UE follows the legacy paging monitoring procedure.</w:t>
            </w:r>
          </w:p>
          <w:p w14:paraId="7B4D05E2" w14:textId="77777777" w:rsidR="0006132A" w:rsidRDefault="0006132A" w:rsidP="0006132A">
            <w:pPr>
              <w:widowControl/>
              <w:numPr>
                <w:ilvl w:val="3"/>
                <w:numId w:val="19"/>
              </w:numPr>
              <w:spacing w:after="0" w:line="240" w:lineRule="auto"/>
              <w:jc w:val="left"/>
              <w:rPr>
                <w:rFonts w:ascii="Times New Roman" w:hAnsi="Times New Roman"/>
                <w:szCs w:val="20"/>
                <w:lang w:eastAsia="x-none"/>
              </w:rPr>
            </w:pPr>
            <w:r>
              <w:rPr>
                <w:rFonts w:ascii="Times New Roman" w:hAnsi="Times New Roman"/>
                <w:szCs w:val="20"/>
                <w:lang w:eastAsia="x-none"/>
              </w:rPr>
              <w:t>Option 2B-2: the UE monitors LP-WUS. If it receives a wake-up indication in a LP-WUS, it monitors the first PO after its reported wake-up delay.</w:t>
            </w:r>
          </w:p>
          <w:p w14:paraId="6429476D" w14:textId="59021459" w:rsidR="00F46220" w:rsidRPr="0006132A" w:rsidRDefault="0006132A" w:rsidP="0006132A">
            <w:pPr>
              <w:widowControl/>
              <w:numPr>
                <w:ilvl w:val="4"/>
                <w:numId w:val="19"/>
              </w:numPr>
              <w:spacing w:after="0" w:line="240" w:lineRule="auto"/>
              <w:jc w:val="left"/>
              <w:rPr>
                <w:rFonts w:ascii="Times New Roman" w:hAnsi="Times New Roman"/>
                <w:szCs w:val="20"/>
                <w:lang w:eastAsia="x-none"/>
              </w:rPr>
            </w:pPr>
            <w:r>
              <w:rPr>
                <w:rFonts w:ascii="Times New Roman" w:hAnsi="Times New Roman"/>
                <w:szCs w:val="20"/>
                <w:lang w:eastAsia="x-none"/>
              </w:rPr>
              <w:t>FFS exactly how to choose the offset</w:t>
            </w:r>
          </w:p>
        </w:tc>
      </w:tr>
    </w:tbl>
    <w:p w14:paraId="5C3372F4" w14:textId="2910E4AD" w:rsidR="0006132A" w:rsidRDefault="0006132A" w:rsidP="0006132A">
      <w:pPr>
        <w:pStyle w:val="BodyText"/>
      </w:pPr>
      <w:r>
        <w:t xml:space="preserve">The drawback with Option 1 is that it considers a single offset value which has to consider the </w:t>
      </w:r>
      <w:proofErr w:type="gramStart"/>
      <w:r>
        <w:t>worst case</w:t>
      </w:r>
      <w:proofErr w:type="gramEnd"/>
      <w:r>
        <w:t xml:space="preserve"> delay value of all the UEs in the cell. Since the NW will not have the knowledge of the UEs currently within its coverage, it will not be able to pick an optimal offset value. </w:t>
      </w:r>
      <w:proofErr w:type="gramStart"/>
      <w:r>
        <w:t>So</w:t>
      </w:r>
      <w:proofErr w:type="gramEnd"/>
      <w:r>
        <w:t xml:space="preserve"> picking an offset value becomes an issue. One more drawback if the NW picks a smaller offset value is that there will be additional delay incurred by the UEs which had wake-delay greater than the offset value as they will miss the associated PO and will have to monitor the next valid PO. Alternatively, if the NW picks a larger offset value, the UE receiving the LP-WUS will be moved out of sleep state soon even if its LR has a smaller the minimum wake up delay. </w:t>
      </w:r>
    </w:p>
    <w:p w14:paraId="08217D18" w14:textId="30891FAD" w:rsidR="0006132A" w:rsidRPr="009342F7" w:rsidRDefault="0006132A" w:rsidP="0006132A">
      <w:pPr>
        <w:pStyle w:val="BodyText"/>
        <w:rPr>
          <w:b/>
          <w:bCs/>
        </w:rPr>
      </w:pPr>
      <w:r w:rsidRPr="009342F7">
        <w:rPr>
          <w:b/>
          <w:bCs/>
        </w:rPr>
        <w:t>Observation 1: NW indicating a single offset value (Option 1 from RAN1) has many drawbacks.</w:t>
      </w:r>
    </w:p>
    <w:p w14:paraId="43E7DDE7" w14:textId="4BA74FB1" w:rsidR="007D4FF2" w:rsidRDefault="0006132A" w:rsidP="0006132A">
      <w:pPr>
        <w:pStyle w:val="BodyText"/>
      </w:pPr>
      <w:r>
        <w:t xml:space="preserve">Considering Option 2: </w:t>
      </w:r>
      <w:r w:rsidR="006C01FC">
        <w:t xml:space="preserve">From the network perspective, </w:t>
      </w:r>
      <w:r w:rsidR="00F46220">
        <w:t>there can be multiple UEs having different wake-up delays in the cell, so NW indicates multiple offset values from the reference PO/PF. The UE monitors an LO by selecting an offset value which is at least greater than or equal to the wake delay of the LR</w:t>
      </w:r>
      <w:r>
        <w:t>.</w:t>
      </w:r>
    </w:p>
    <w:p w14:paraId="14B6720C" w14:textId="14C5FB73" w:rsidR="007D4FF2" w:rsidRPr="009342F7" w:rsidRDefault="006C01FC">
      <w:pPr>
        <w:pStyle w:val="BodyText"/>
        <w:rPr>
          <w:b/>
          <w:bCs/>
        </w:rPr>
      </w:pPr>
      <w:r w:rsidRPr="009342F7">
        <w:rPr>
          <w:rFonts w:hint="eastAsia"/>
          <w:b/>
          <w:bCs/>
        </w:rPr>
        <w:t xml:space="preserve">Proposal </w:t>
      </w:r>
      <w:r w:rsidR="009342F7" w:rsidRPr="009342F7">
        <w:rPr>
          <w:b/>
          <w:bCs/>
        </w:rPr>
        <w:t>4</w:t>
      </w:r>
      <w:r w:rsidRPr="009342F7">
        <w:rPr>
          <w:rFonts w:hint="eastAsia"/>
          <w:b/>
          <w:bCs/>
        </w:rPr>
        <w:t xml:space="preserve">: </w:t>
      </w:r>
      <w:r w:rsidR="0006132A" w:rsidRPr="009342F7">
        <w:rPr>
          <w:b/>
          <w:bCs/>
        </w:rPr>
        <w:t xml:space="preserve">RAN2 to consider </w:t>
      </w:r>
      <w:r w:rsidR="00BD4437" w:rsidRPr="009342F7">
        <w:rPr>
          <w:b/>
          <w:bCs/>
        </w:rPr>
        <w:t xml:space="preserve">NW broadcasting multiple </w:t>
      </w:r>
      <w:proofErr w:type="gramStart"/>
      <w:r w:rsidR="00BD4437" w:rsidRPr="009342F7">
        <w:rPr>
          <w:b/>
          <w:bCs/>
        </w:rPr>
        <w:t>offset</w:t>
      </w:r>
      <w:proofErr w:type="gramEnd"/>
      <w:r w:rsidR="00BD4437" w:rsidRPr="009342F7">
        <w:rPr>
          <w:b/>
          <w:bCs/>
        </w:rPr>
        <w:t xml:space="preserve"> as baseline and further study </w:t>
      </w:r>
      <w:r w:rsidR="009B2B86" w:rsidRPr="009342F7">
        <w:rPr>
          <w:b/>
          <w:bCs/>
        </w:rPr>
        <w:t>the alternatives within option 2</w:t>
      </w:r>
      <w:r w:rsidR="00BD4437" w:rsidRPr="009342F7">
        <w:rPr>
          <w:b/>
          <w:bCs/>
        </w:rPr>
        <w:t xml:space="preserve">. </w:t>
      </w:r>
      <w:r w:rsidRPr="009342F7">
        <w:rPr>
          <w:b/>
          <w:bCs/>
        </w:rPr>
        <w:t xml:space="preserve"> </w:t>
      </w:r>
    </w:p>
    <w:p w14:paraId="7E912E00" w14:textId="34110361" w:rsidR="00D93A65" w:rsidRDefault="00D93A65" w:rsidP="00D93A65">
      <w:pPr>
        <w:pStyle w:val="Heading2"/>
        <w:rPr>
          <w:sz w:val="28"/>
          <w:szCs w:val="28"/>
          <w:lang w:val="en-US" w:eastAsia="zh-CN"/>
        </w:rPr>
      </w:pPr>
      <w:r>
        <w:rPr>
          <w:sz w:val="28"/>
          <w:szCs w:val="28"/>
          <w:lang w:val="en-US" w:eastAsia="zh-CN"/>
        </w:rPr>
        <w:lastRenderedPageBreak/>
        <w:t>2.5 Supporting LP-WUS for MBS group paging:</w:t>
      </w:r>
    </w:p>
    <w:p w14:paraId="2DA547BA" w14:textId="77777777" w:rsidR="002A5E3F" w:rsidRPr="009342F7" w:rsidRDefault="002A5E3F">
      <w:pPr>
        <w:pStyle w:val="BodyText"/>
      </w:pPr>
      <w:r w:rsidRPr="009342F7">
        <w:t>Group paging was designed as an efficient mechanism for notifying UEs in IDLE/INACTIVE mode which had already joined an MBS session about the start/resume of the session. The group paging uses TMGI as the group paging identity and is indented to notify all the UEs in the cell which has joined in the session. If the UE is using LR to monitor wake up indication for paging reception, the network has to signal LP-WUS group ID to wake up that UE which can cause all UEs which haven’t subscribed to any MBS session to also wake up. This also adds in additional load at network to signal all the LP-WUS group IDs which has at least one UE mapped to it and which has subscribed to the MBS session.</w:t>
      </w:r>
    </w:p>
    <w:p w14:paraId="4D98EB8C" w14:textId="27CC5749" w:rsidR="00D93A65" w:rsidRPr="009342F7" w:rsidRDefault="009342F7">
      <w:pPr>
        <w:pStyle w:val="BodyText"/>
        <w:rPr>
          <w:rFonts w:eastAsia="SimSun"/>
          <w:b/>
          <w:bCs/>
          <w:iCs/>
          <w:lang w:val="en-US" w:eastAsia="zh-CN"/>
        </w:rPr>
      </w:pPr>
      <w:r w:rsidRPr="009342F7">
        <w:rPr>
          <w:rFonts w:eastAsia="SimSun"/>
          <w:b/>
          <w:bCs/>
          <w:iCs/>
          <w:lang w:val="en-US" w:eastAsia="zh-CN"/>
        </w:rPr>
        <w:t>Proposal 5: RAN2 to study mechanism to handle LP-WUS notification for signaling wake up indication for group paging reception</w:t>
      </w:r>
    </w:p>
    <w:p w14:paraId="3641FC1E" w14:textId="1341304F"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6E6F980" w14:textId="048923FD" w:rsidR="009342F7" w:rsidRPr="009342F7" w:rsidRDefault="009342F7" w:rsidP="009342F7">
      <w:pPr>
        <w:rPr>
          <w:rFonts w:eastAsia="MS Mincho"/>
          <w:b/>
          <w:bCs/>
          <w:kern w:val="0"/>
          <w:sz w:val="20"/>
          <w:szCs w:val="20"/>
          <w:u w:val="single"/>
          <w:lang w:val="en-US" w:eastAsia="zh-CN"/>
        </w:rPr>
      </w:pPr>
      <w:r w:rsidRPr="009342F7">
        <w:rPr>
          <w:rFonts w:eastAsia="MS Mincho"/>
          <w:b/>
          <w:bCs/>
          <w:kern w:val="0"/>
          <w:sz w:val="20"/>
          <w:szCs w:val="20"/>
          <w:u w:val="single"/>
          <w:lang w:val="en-US" w:eastAsia="zh-CN"/>
        </w:rPr>
        <w:t>LP-WUS subgrouping:</w:t>
      </w:r>
    </w:p>
    <w:p w14:paraId="688FEB52" w14:textId="77777777" w:rsidR="009342F7" w:rsidRPr="002A5E3F" w:rsidRDefault="009342F7" w:rsidP="009342F7">
      <w:pPr>
        <w:pStyle w:val="BodyText"/>
        <w:rPr>
          <w:b/>
          <w:bCs/>
          <w:lang w:eastAsia="zh-CN"/>
        </w:rPr>
      </w:pPr>
      <w:r w:rsidRPr="002A5E3F">
        <w:rPr>
          <w:b/>
          <w:bCs/>
          <w:lang w:eastAsia="zh-CN"/>
        </w:rPr>
        <w:t>Proposal 1: RAN2 to agree the following formula for LP-WUS subgroup ID calculation:</w:t>
      </w:r>
    </w:p>
    <w:p w14:paraId="74438E64" w14:textId="77777777" w:rsidR="009342F7" w:rsidRPr="002A5E3F" w:rsidRDefault="009342F7" w:rsidP="009342F7">
      <w:pPr>
        <w:pStyle w:val="BodyText"/>
        <w:ind w:left="1680"/>
        <w:rPr>
          <w:b/>
          <w:bCs/>
          <w:lang w:eastAsia="zh-CN"/>
        </w:rPr>
      </w:pPr>
      <w:r w:rsidRPr="002A5E3F">
        <w:rPr>
          <w:b/>
          <w:bCs/>
          <w:lang w:eastAsia="zh-CN"/>
        </w:rPr>
        <w:t>LP-WUS Subgroup ID = (floor (UEID/(N*Ns*peiSubgroupNum)) mod lpwusSubgroupsNumUEID) + (lpwusSubgroupsNumPerPO – lpwusSubgroupsNumUEID),</w:t>
      </w:r>
    </w:p>
    <w:p w14:paraId="1C71E8DC" w14:textId="1D2754D4" w:rsidR="007D4FF2" w:rsidRDefault="00BD4437">
      <w:pPr>
        <w:rPr>
          <w:rFonts w:eastAsia="MS Mincho"/>
          <w:b/>
          <w:bCs/>
          <w:kern w:val="0"/>
          <w:sz w:val="20"/>
          <w:szCs w:val="20"/>
          <w:u w:val="single"/>
          <w:lang w:val="en-US" w:eastAsia="zh-CN"/>
        </w:rPr>
      </w:pPr>
      <w:r>
        <w:rPr>
          <w:rFonts w:eastAsia="MS Mincho"/>
          <w:b/>
          <w:bCs/>
          <w:kern w:val="0"/>
          <w:sz w:val="20"/>
          <w:szCs w:val="20"/>
          <w:u w:val="single"/>
          <w:lang w:val="en-US" w:eastAsia="zh-CN"/>
        </w:rPr>
        <w:t>Impact of LR not supporting all bands as MR</w:t>
      </w:r>
    </w:p>
    <w:p w14:paraId="3E8917C3" w14:textId="77777777" w:rsidR="009342F7" w:rsidRDefault="009342F7">
      <w:pPr>
        <w:rPr>
          <w:rFonts w:eastAsia="MS Mincho"/>
          <w:b/>
          <w:bCs/>
          <w:kern w:val="0"/>
          <w:sz w:val="20"/>
          <w:szCs w:val="20"/>
          <w:lang w:val="en-US" w:eastAsia="zh-CN"/>
        </w:rPr>
      </w:pPr>
      <w:r w:rsidRPr="009342F7">
        <w:rPr>
          <w:rFonts w:eastAsia="MS Mincho"/>
          <w:b/>
          <w:bCs/>
          <w:kern w:val="0"/>
          <w:sz w:val="20"/>
          <w:szCs w:val="20"/>
          <w:lang w:val="en-US" w:eastAsia="zh-CN"/>
        </w:rPr>
        <w:t xml:space="preserve">Proposal 2: RAN2 to agree that the issue of LR and MR not supporting same bands (intra-frequency case) is handled by network implementation with no spec impact. </w:t>
      </w:r>
    </w:p>
    <w:p w14:paraId="4C446E41" w14:textId="0FA4C0E7" w:rsidR="007D4FF2" w:rsidRDefault="00BD4437">
      <w:pPr>
        <w:rPr>
          <w:rFonts w:eastAsia="MS Mincho"/>
          <w:b/>
          <w:bCs/>
          <w:kern w:val="0"/>
          <w:sz w:val="20"/>
          <w:szCs w:val="20"/>
          <w:u w:val="single"/>
          <w:lang w:val="en-US" w:eastAsia="zh-CN"/>
        </w:rPr>
      </w:pPr>
      <w:r w:rsidRPr="00BD4437">
        <w:rPr>
          <w:rFonts w:eastAsia="MS Mincho"/>
          <w:b/>
          <w:bCs/>
          <w:kern w:val="0"/>
          <w:sz w:val="20"/>
          <w:szCs w:val="20"/>
          <w:u w:val="single"/>
          <w:lang w:val="en-US" w:eastAsia="zh-CN"/>
        </w:rPr>
        <w:t xml:space="preserve">Entry/Exit criteria for using LR </w:t>
      </w:r>
    </w:p>
    <w:p w14:paraId="0BD71BB3" w14:textId="5EC2A785" w:rsidR="00BD4437" w:rsidRDefault="00BD4437" w:rsidP="00BD4437">
      <w:pPr>
        <w:pStyle w:val="BodyText"/>
        <w:rPr>
          <w:b/>
          <w:bCs/>
          <w:lang w:val="en-US" w:eastAsia="zh-CN"/>
        </w:rPr>
      </w:pPr>
      <w:r w:rsidRPr="00FC072E">
        <w:rPr>
          <w:b/>
          <w:bCs/>
          <w:lang w:val="en-US" w:eastAsia="zh-CN"/>
        </w:rPr>
        <w:t xml:space="preserve">Proposal </w:t>
      </w:r>
      <w:r w:rsidR="009342F7">
        <w:rPr>
          <w:b/>
          <w:bCs/>
          <w:lang w:val="en-US" w:eastAsia="zh-CN"/>
        </w:rPr>
        <w:t>3</w:t>
      </w:r>
      <w:r w:rsidRPr="00FC072E">
        <w:rPr>
          <w:b/>
          <w:bCs/>
          <w:lang w:val="en-US" w:eastAsia="zh-CN"/>
        </w:rPr>
        <w:t xml:space="preserve">: RAN2 to consider evaluation time period for which the entry/exit conditions </w:t>
      </w:r>
      <w:proofErr w:type="gramStart"/>
      <w:r w:rsidRPr="00FC072E">
        <w:rPr>
          <w:b/>
          <w:bCs/>
          <w:lang w:val="en-US" w:eastAsia="zh-CN"/>
        </w:rPr>
        <w:t>needs</w:t>
      </w:r>
      <w:proofErr w:type="gramEnd"/>
      <w:r w:rsidRPr="00FC072E">
        <w:rPr>
          <w:b/>
          <w:bCs/>
          <w:lang w:val="en-US" w:eastAsia="zh-CN"/>
        </w:rPr>
        <w:t xml:space="preserve"> to be satisfied to switch between LR/MR. </w:t>
      </w:r>
    </w:p>
    <w:p w14:paraId="07FF2CAE" w14:textId="0204481E" w:rsidR="00BD4437" w:rsidRDefault="00BD4437" w:rsidP="00BD4437">
      <w:pPr>
        <w:rPr>
          <w:rFonts w:eastAsia="MS Mincho"/>
          <w:b/>
          <w:bCs/>
          <w:kern w:val="0"/>
          <w:sz w:val="20"/>
          <w:szCs w:val="20"/>
          <w:u w:val="single"/>
          <w:lang w:val="en-US" w:eastAsia="zh-CN"/>
        </w:rPr>
      </w:pPr>
      <w:r w:rsidRPr="00BD4437">
        <w:rPr>
          <w:rFonts w:eastAsia="MS Mincho"/>
          <w:b/>
          <w:bCs/>
          <w:kern w:val="0"/>
          <w:sz w:val="20"/>
          <w:szCs w:val="20"/>
          <w:u w:val="single"/>
          <w:lang w:val="en-US" w:eastAsia="zh-CN"/>
        </w:rPr>
        <w:t>LO and PO association</w:t>
      </w:r>
    </w:p>
    <w:p w14:paraId="73E92AF2" w14:textId="32C6CFDD" w:rsidR="00BD4437" w:rsidRPr="0006132A" w:rsidRDefault="00BD4437" w:rsidP="00BD4437">
      <w:pPr>
        <w:pStyle w:val="BodyText"/>
        <w:rPr>
          <w:b/>
          <w:bCs/>
        </w:rPr>
      </w:pPr>
      <w:r w:rsidRPr="0006132A">
        <w:rPr>
          <w:b/>
          <w:bCs/>
        </w:rPr>
        <w:t>Observation 1: NW indicating a single offset value</w:t>
      </w:r>
      <w:r>
        <w:rPr>
          <w:b/>
          <w:bCs/>
        </w:rPr>
        <w:t xml:space="preserve"> between LO and PO </w:t>
      </w:r>
      <w:r w:rsidRPr="0006132A">
        <w:rPr>
          <w:b/>
          <w:bCs/>
        </w:rPr>
        <w:t>(Option 1 from RAN1) has many drawbacks.</w:t>
      </w:r>
    </w:p>
    <w:p w14:paraId="146CD04D" w14:textId="77777777" w:rsidR="009342F7" w:rsidRDefault="00BD4437" w:rsidP="00BD4437">
      <w:pPr>
        <w:pStyle w:val="BodyText"/>
        <w:rPr>
          <w:rFonts w:eastAsia="SimSun"/>
          <w:b/>
          <w:bCs/>
          <w:iCs/>
          <w:lang w:val="en-US" w:eastAsia="zh-CN"/>
        </w:rPr>
      </w:pPr>
      <w:r>
        <w:rPr>
          <w:rFonts w:eastAsia="SimSun" w:hint="eastAsia"/>
          <w:b/>
          <w:bCs/>
          <w:iCs/>
          <w:lang w:val="en-US" w:eastAsia="zh-CN"/>
        </w:rPr>
        <w:t xml:space="preserve">Proposal </w:t>
      </w:r>
      <w:r w:rsidR="009342F7">
        <w:rPr>
          <w:rFonts w:eastAsia="SimSun"/>
          <w:b/>
          <w:bCs/>
          <w:iCs/>
          <w:lang w:val="en-US" w:eastAsia="zh-CN"/>
        </w:rPr>
        <w:t>4</w:t>
      </w:r>
      <w:r>
        <w:rPr>
          <w:rFonts w:eastAsia="SimSun" w:hint="eastAsia"/>
          <w:b/>
          <w:bCs/>
          <w:iCs/>
          <w:lang w:val="en-US" w:eastAsia="zh-CN"/>
        </w:rPr>
        <w:t xml:space="preserve">: </w:t>
      </w:r>
      <w:r>
        <w:rPr>
          <w:rFonts w:eastAsia="SimSun"/>
          <w:b/>
          <w:bCs/>
          <w:iCs/>
          <w:lang w:val="en-US" w:eastAsia="zh-CN"/>
        </w:rPr>
        <w:t xml:space="preserve">RAN2 to consider NW broadcasting multiple offset values between a PO and LOs (Option 2 from RAN1) as baseline and RAN2 to further study how UE selects the offset value. </w:t>
      </w:r>
    </w:p>
    <w:p w14:paraId="32F39616" w14:textId="77777777" w:rsidR="009342F7" w:rsidRDefault="009342F7" w:rsidP="00BD4437">
      <w:pPr>
        <w:pStyle w:val="BodyText"/>
        <w:rPr>
          <w:b/>
          <w:bCs/>
          <w:szCs w:val="20"/>
          <w:u w:val="single"/>
          <w:lang w:val="en-US" w:eastAsia="zh-CN"/>
        </w:rPr>
      </w:pPr>
      <w:r w:rsidRPr="009342F7">
        <w:rPr>
          <w:rFonts w:eastAsia="SimSun"/>
          <w:b/>
          <w:bCs/>
          <w:iCs/>
          <w:u w:val="single"/>
          <w:lang w:val="en-US" w:eastAsia="zh-CN"/>
        </w:rPr>
        <w:t>LP-WUS for Group paging:</w:t>
      </w:r>
    </w:p>
    <w:p w14:paraId="45D19226" w14:textId="77777777" w:rsidR="009342F7" w:rsidRPr="009342F7" w:rsidRDefault="009342F7" w:rsidP="009342F7">
      <w:pPr>
        <w:pStyle w:val="BodyText"/>
        <w:rPr>
          <w:rFonts w:eastAsia="SimSun"/>
          <w:b/>
          <w:bCs/>
          <w:iCs/>
          <w:lang w:val="en-US" w:eastAsia="zh-CN"/>
        </w:rPr>
      </w:pPr>
      <w:r w:rsidRPr="009342F7">
        <w:rPr>
          <w:rFonts w:eastAsia="SimSun"/>
          <w:b/>
          <w:bCs/>
          <w:iCs/>
          <w:lang w:val="en-US" w:eastAsia="zh-CN"/>
        </w:rPr>
        <w:t>Proposal 5: RAN2 to study mechanism to handle LP-WUS notification for signaling wake up indication for group paging reception</w:t>
      </w:r>
    </w:p>
    <w:p w14:paraId="36A3C1BC" w14:textId="7EE504BC" w:rsidR="00BD4437" w:rsidRPr="009342F7" w:rsidRDefault="00BD4437" w:rsidP="00BD4437">
      <w:pPr>
        <w:pStyle w:val="BodyText"/>
        <w:rPr>
          <w:rFonts w:eastAsia="SimSun"/>
          <w:b/>
          <w:bCs/>
          <w:iCs/>
          <w:u w:val="single"/>
          <w:lang w:val="en-US" w:eastAsia="zh-CN"/>
        </w:rPr>
      </w:pPr>
      <w:r w:rsidRPr="009342F7">
        <w:rPr>
          <w:b/>
          <w:bCs/>
          <w:szCs w:val="20"/>
          <w:u w:val="single"/>
          <w:lang w:val="en-US" w:eastAsia="zh-CN"/>
        </w:rPr>
        <w:t xml:space="preserve"> </w:t>
      </w:r>
    </w:p>
    <w:sectPr w:rsidR="00BD4437" w:rsidRPr="009342F7">
      <w:headerReference w:type="default" r:id="rId7"/>
      <w:footerReference w:type="even" r:id="rId8"/>
      <w:footerReference w:type="default" r:id="rId9"/>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40080" w14:textId="77777777" w:rsidR="00BE5AB7" w:rsidRDefault="00BE5AB7">
      <w:pPr>
        <w:spacing w:line="240" w:lineRule="auto"/>
      </w:pPr>
      <w:r>
        <w:separator/>
      </w:r>
    </w:p>
  </w:endnote>
  <w:endnote w:type="continuationSeparator" w:id="0">
    <w:p w14:paraId="0C80F4F1" w14:textId="77777777" w:rsidR="00BE5AB7" w:rsidRDefault="00BE5A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EF2A" w14:textId="77777777" w:rsidR="007D4FF2" w:rsidRDefault="006C01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1D1000" w14:textId="77777777" w:rsidR="007D4FF2" w:rsidRDefault="007D4F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C09F" w14:textId="77777777" w:rsidR="007D4FF2" w:rsidRDefault="007D4FF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49985" w14:textId="77777777" w:rsidR="00BE5AB7" w:rsidRDefault="00BE5AB7">
      <w:pPr>
        <w:spacing w:after="0"/>
      </w:pPr>
      <w:r>
        <w:separator/>
      </w:r>
    </w:p>
  </w:footnote>
  <w:footnote w:type="continuationSeparator" w:id="0">
    <w:p w14:paraId="0A940E66" w14:textId="77777777" w:rsidR="00BE5AB7" w:rsidRDefault="00BE5A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99E5" w14:textId="77777777" w:rsidR="007D4FF2" w:rsidRDefault="007D4FF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C11BA"/>
    <w:multiLevelType w:val="hybridMultilevel"/>
    <w:tmpl w:val="853859E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2F50618"/>
    <w:multiLevelType w:val="hybridMultilevel"/>
    <w:tmpl w:val="03B6B630"/>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46C54741"/>
    <w:multiLevelType w:val="hybridMultilevel"/>
    <w:tmpl w:val="7FFC69EA"/>
    <w:lvl w:ilvl="0" w:tplc="2520838C">
      <w:start w:val="4"/>
      <w:numFmt w:val="bullet"/>
      <w:lvlText w:val="-"/>
      <w:lvlJc w:val="left"/>
      <w:pPr>
        <w:ind w:left="1140" w:hanging="360"/>
      </w:pPr>
      <w:rPr>
        <w:rFonts w:ascii="Arial" w:eastAsiaTheme="minorEastAsia"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9" w15:restartNumberingAfterBreak="0">
    <w:nsid w:val="74CB629F"/>
    <w:multiLevelType w:val="hybridMultilevel"/>
    <w:tmpl w:val="39EC816C"/>
    <w:lvl w:ilvl="0" w:tplc="C62AADE8">
      <w:numFmt w:val="bullet"/>
      <w:lvlText w:val="-"/>
      <w:lvlJc w:val="left"/>
      <w:pPr>
        <w:ind w:left="359" w:hanging="360"/>
      </w:pPr>
      <w:rPr>
        <w:rFonts w:ascii="Arial" w:eastAsiaTheme="minorEastAsia" w:hAnsi="Arial" w:cs="Arial" w:hint="default"/>
        <w:sz w:val="21"/>
      </w:rPr>
    </w:lvl>
    <w:lvl w:ilvl="1" w:tplc="04090003">
      <w:start w:val="1"/>
      <w:numFmt w:val="bullet"/>
      <w:lvlText w:val="o"/>
      <w:lvlJc w:val="left"/>
      <w:pPr>
        <w:ind w:left="1079" w:hanging="360"/>
      </w:pPr>
      <w:rPr>
        <w:rFonts w:ascii="Courier New" w:hAnsi="Courier New" w:cs="Courier New" w:hint="default"/>
      </w:rPr>
    </w:lvl>
    <w:lvl w:ilvl="2" w:tplc="04090005">
      <w:start w:val="1"/>
      <w:numFmt w:val="bullet"/>
      <w:lvlText w:val=""/>
      <w:lvlJc w:val="left"/>
      <w:pPr>
        <w:ind w:left="1799" w:hanging="360"/>
      </w:pPr>
      <w:rPr>
        <w:rFonts w:ascii="Wingdings" w:hAnsi="Wingdings" w:hint="default"/>
      </w:rPr>
    </w:lvl>
    <w:lvl w:ilvl="3" w:tplc="04090001">
      <w:start w:val="1"/>
      <w:numFmt w:val="bullet"/>
      <w:lvlText w:val=""/>
      <w:lvlJc w:val="left"/>
      <w:pPr>
        <w:ind w:left="2519" w:hanging="360"/>
      </w:pPr>
      <w:rPr>
        <w:rFonts w:ascii="Symbol" w:hAnsi="Symbol" w:hint="default"/>
      </w:rPr>
    </w:lvl>
    <w:lvl w:ilvl="4" w:tplc="04090003">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0"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4"/>
  </w:num>
  <w:num w:numId="6">
    <w:abstractNumId w:val="0"/>
  </w:num>
  <w:num w:numId="7">
    <w:abstractNumId w:val="18"/>
  </w:num>
  <w:num w:numId="8">
    <w:abstractNumId w:val="15"/>
  </w:num>
  <w:num w:numId="9">
    <w:abstractNumId w:val="16"/>
  </w:num>
  <w:num w:numId="10">
    <w:abstractNumId w:val="21"/>
  </w:num>
  <w:num w:numId="11">
    <w:abstractNumId w:val="7"/>
  </w:num>
  <w:num w:numId="12">
    <w:abstractNumId w:val="9"/>
  </w:num>
  <w:num w:numId="13">
    <w:abstractNumId w:val="6"/>
  </w:num>
  <w:num w:numId="14">
    <w:abstractNumId w:val="20"/>
  </w:num>
  <w:num w:numId="15">
    <w:abstractNumId w:val="5"/>
  </w:num>
  <w:num w:numId="16">
    <w:abstractNumId w:val="22"/>
  </w:num>
  <w:num w:numId="17">
    <w:abstractNumId w:val="17"/>
  </w:num>
  <w:num w:numId="18">
    <w:abstractNumId w:val="8"/>
  </w:num>
  <w:num w:numId="19">
    <w:abstractNumId w:val="19"/>
  </w:num>
  <w:num w:numId="20">
    <w:abstractNumId w:val="2"/>
  </w:num>
  <w:num w:numId="21">
    <w:abstractNumId w:val="12"/>
  </w:num>
  <w:num w:numId="22">
    <w:abstractNumId w:val="3"/>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BEF7034"/>
    <w:rsid w:val="F6FF39D4"/>
    <w:rsid w:val="FBCF65FC"/>
    <w:rsid w:val="FC7FE8D8"/>
    <w:rsid w:val="00001366"/>
    <w:rsid w:val="00001DF1"/>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6132A"/>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2AE2"/>
    <w:rsid w:val="000F4CFF"/>
    <w:rsid w:val="000F6C04"/>
    <w:rsid w:val="000F6D2E"/>
    <w:rsid w:val="000F6D82"/>
    <w:rsid w:val="000F78FD"/>
    <w:rsid w:val="00100030"/>
    <w:rsid w:val="0010030F"/>
    <w:rsid w:val="00106243"/>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3C81"/>
    <w:rsid w:val="00144DE2"/>
    <w:rsid w:val="00145AFF"/>
    <w:rsid w:val="00145B62"/>
    <w:rsid w:val="00147740"/>
    <w:rsid w:val="00150BAB"/>
    <w:rsid w:val="0016097C"/>
    <w:rsid w:val="00160A40"/>
    <w:rsid w:val="00161F80"/>
    <w:rsid w:val="00162611"/>
    <w:rsid w:val="001627D9"/>
    <w:rsid w:val="00165655"/>
    <w:rsid w:val="00165E92"/>
    <w:rsid w:val="0016696D"/>
    <w:rsid w:val="00170667"/>
    <w:rsid w:val="00170C6A"/>
    <w:rsid w:val="00171AD5"/>
    <w:rsid w:val="00171FF9"/>
    <w:rsid w:val="0017245C"/>
    <w:rsid w:val="00175677"/>
    <w:rsid w:val="001757AA"/>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DF5"/>
    <w:rsid w:val="001F4346"/>
    <w:rsid w:val="001F5EF3"/>
    <w:rsid w:val="001F6257"/>
    <w:rsid w:val="001F7E95"/>
    <w:rsid w:val="002013C9"/>
    <w:rsid w:val="00201FFE"/>
    <w:rsid w:val="00202C4B"/>
    <w:rsid w:val="00203B88"/>
    <w:rsid w:val="00206380"/>
    <w:rsid w:val="00207416"/>
    <w:rsid w:val="00207C68"/>
    <w:rsid w:val="002110CC"/>
    <w:rsid w:val="002141A2"/>
    <w:rsid w:val="00215592"/>
    <w:rsid w:val="002155FA"/>
    <w:rsid w:val="00215E50"/>
    <w:rsid w:val="00216E24"/>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716"/>
    <w:rsid w:val="002344F2"/>
    <w:rsid w:val="00235BBC"/>
    <w:rsid w:val="002368E4"/>
    <w:rsid w:val="00241198"/>
    <w:rsid w:val="00241832"/>
    <w:rsid w:val="002435BA"/>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4493"/>
    <w:rsid w:val="00274A71"/>
    <w:rsid w:val="00274E0A"/>
    <w:rsid w:val="00277301"/>
    <w:rsid w:val="00281718"/>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61E6"/>
    <w:rsid w:val="00296A7E"/>
    <w:rsid w:val="00297112"/>
    <w:rsid w:val="00297A88"/>
    <w:rsid w:val="002A15B3"/>
    <w:rsid w:val="002A3038"/>
    <w:rsid w:val="002A5E3F"/>
    <w:rsid w:val="002A6D0A"/>
    <w:rsid w:val="002A7E7E"/>
    <w:rsid w:val="002B06EA"/>
    <w:rsid w:val="002B15F1"/>
    <w:rsid w:val="002B18D1"/>
    <w:rsid w:val="002B1E4D"/>
    <w:rsid w:val="002B1F00"/>
    <w:rsid w:val="002B24A3"/>
    <w:rsid w:val="002B2BBC"/>
    <w:rsid w:val="002B351B"/>
    <w:rsid w:val="002B3C48"/>
    <w:rsid w:val="002B41F7"/>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5ADF"/>
    <w:rsid w:val="002D6461"/>
    <w:rsid w:val="002D650F"/>
    <w:rsid w:val="002D65C7"/>
    <w:rsid w:val="002D6E18"/>
    <w:rsid w:val="002E002E"/>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1A7"/>
    <w:rsid w:val="00313308"/>
    <w:rsid w:val="003144CA"/>
    <w:rsid w:val="00317063"/>
    <w:rsid w:val="003171FD"/>
    <w:rsid w:val="00317602"/>
    <w:rsid w:val="00321077"/>
    <w:rsid w:val="003213D2"/>
    <w:rsid w:val="00322A09"/>
    <w:rsid w:val="00322EDB"/>
    <w:rsid w:val="003231CD"/>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1F77"/>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41C"/>
    <w:rsid w:val="003E6BF7"/>
    <w:rsid w:val="003E7964"/>
    <w:rsid w:val="003E7C95"/>
    <w:rsid w:val="003E7D68"/>
    <w:rsid w:val="003F12F6"/>
    <w:rsid w:val="003F1437"/>
    <w:rsid w:val="003F3365"/>
    <w:rsid w:val="003F39E3"/>
    <w:rsid w:val="003F448B"/>
    <w:rsid w:val="003F58F6"/>
    <w:rsid w:val="003F6316"/>
    <w:rsid w:val="003F75E0"/>
    <w:rsid w:val="004001C3"/>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29B"/>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9B6"/>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0B"/>
    <w:rsid w:val="00532B61"/>
    <w:rsid w:val="00532E67"/>
    <w:rsid w:val="00533C22"/>
    <w:rsid w:val="00534869"/>
    <w:rsid w:val="00534EE5"/>
    <w:rsid w:val="0053653D"/>
    <w:rsid w:val="005371D2"/>
    <w:rsid w:val="00537528"/>
    <w:rsid w:val="00537869"/>
    <w:rsid w:val="00542ED7"/>
    <w:rsid w:val="0054322D"/>
    <w:rsid w:val="00545A76"/>
    <w:rsid w:val="0055002F"/>
    <w:rsid w:val="005506C7"/>
    <w:rsid w:val="005514AA"/>
    <w:rsid w:val="00551878"/>
    <w:rsid w:val="00552A8F"/>
    <w:rsid w:val="00553234"/>
    <w:rsid w:val="00553B60"/>
    <w:rsid w:val="0055402E"/>
    <w:rsid w:val="0055689F"/>
    <w:rsid w:val="005601E8"/>
    <w:rsid w:val="00561349"/>
    <w:rsid w:val="00561E2F"/>
    <w:rsid w:val="00561EC5"/>
    <w:rsid w:val="00563B02"/>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6AB5"/>
    <w:rsid w:val="005D7B3F"/>
    <w:rsid w:val="005E06D3"/>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2636"/>
    <w:rsid w:val="00603239"/>
    <w:rsid w:val="0060473D"/>
    <w:rsid w:val="00604A95"/>
    <w:rsid w:val="006053DC"/>
    <w:rsid w:val="00605477"/>
    <w:rsid w:val="006058F6"/>
    <w:rsid w:val="006067E7"/>
    <w:rsid w:val="00607058"/>
    <w:rsid w:val="0060767B"/>
    <w:rsid w:val="00607A61"/>
    <w:rsid w:val="00610512"/>
    <w:rsid w:val="00610C58"/>
    <w:rsid w:val="00610E76"/>
    <w:rsid w:val="006127D4"/>
    <w:rsid w:val="00613CD8"/>
    <w:rsid w:val="00614547"/>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C14"/>
    <w:rsid w:val="00691D2A"/>
    <w:rsid w:val="00691E28"/>
    <w:rsid w:val="00691F66"/>
    <w:rsid w:val="00692C5E"/>
    <w:rsid w:val="006954BD"/>
    <w:rsid w:val="006968FD"/>
    <w:rsid w:val="0069729C"/>
    <w:rsid w:val="006978B2"/>
    <w:rsid w:val="00697DD7"/>
    <w:rsid w:val="006A008F"/>
    <w:rsid w:val="006A069D"/>
    <w:rsid w:val="006A1B9C"/>
    <w:rsid w:val="006A1FC4"/>
    <w:rsid w:val="006A2467"/>
    <w:rsid w:val="006A31B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B7A3A"/>
    <w:rsid w:val="006C01FC"/>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3A18"/>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33B"/>
    <w:rsid w:val="00783FE8"/>
    <w:rsid w:val="00787A57"/>
    <w:rsid w:val="00787B7D"/>
    <w:rsid w:val="00792D48"/>
    <w:rsid w:val="00793203"/>
    <w:rsid w:val="00793B26"/>
    <w:rsid w:val="00793D75"/>
    <w:rsid w:val="00794677"/>
    <w:rsid w:val="007947BC"/>
    <w:rsid w:val="00795931"/>
    <w:rsid w:val="00796A2A"/>
    <w:rsid w:val="00797EE2"/>
    <w:rsid w:val="007A053E"/>
    <w:rsid w:val="007A0DAA"/>
    <w:rsid w:val="007A1200"/>
    <w:rsid w:val="007A1359"/>
    <w:rsid w:val="007A21A1"/>
    <w:rsid w:val="007A2A69"/>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0B4"/>
    <w:rsid w:val="007D2587"/>
    <w:rsid w:val="007D25F6"/>
    <w:rsid w:val="007D36F2"/>
    <w:rsid w:val="007D4E61"/>
    <w:rsid w:val="007D4FF2"/>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14A"/>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0232"/>
    <w:rsid w:val="008A4FE1"/>
    <w:rsid w:val="008A5E28"/>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6CDD"/>
    <w:rsid w:val="008F7007"/>
    <w:rsid w:val="008F72EB"/>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CAD"/>
    <w:rsid w:val="00931C5F"/>
    <w:rsid w:val="009333DC"/>
    <w:rsid w:val="0093373D"/>
    <w:rsid w:val="009342F7"/>
    <w:rsid w:val="00935008"/>
    <w:rsid w:val="00936332"/>
    <w:rsid w:val="009400CF"/>
    <w:rsid w:val="0094029F"/>
    <w:rsid w:val="00940533"/>
    <w:rsid w:val="00940E73"/>
    <w:rsid w:val="009410AE"/>
    <w:rsid w:val="009416D5"/>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618E"/>
    <w:rsid w:val="009A6355"/>
    <w:rsid w:val="009A70A8"/>
    <w:rsid w:val="009B155B"/>
    <w:rsid w:val="009B17B6"/>
    <w:rsid w:val="009B183F"/>
    <w:rsid w:val="009B1F5B"/>
    <w:rsid w:val="009B2B86"/>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5523"/>
    <w:rsid w:val="009E6103"/>
    <w:rsid w:val="009E619C"/>
    <w:rsid w:val="009E7020"/>
    <w:rsid w:val="009E7045"/>
    <w:rsid w:val="009E748B"/>
    <w:rsid w:val="009F0C83"/>
    <w:rsid w:val="009F1449"/>
    <w:rsid w:val="009F2244"/>
    <w:rsid w:val="009F3D12"/>
    <w:rsid w:val="009F4BCF"/>
    <w:rsid w:val="009F6D54"/>
    <w:rsid w:val="00A00DE0"/>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2803"/>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B5B"/>
    <w:rsid w:val="00A4472F"/>
    <w:rsid w:val="00A44BE1"/>
    <w:rsid w:val="00A4500D"/>
    <w:rsid w:val="00A45B31"/>
    <w:rsid w:val="00A504A8"/>
    <w:rsid w:val="00A527D9"/>
    <w:rsid w:val="00A52944"/>
    <w:rsid w:val="00A53CDD"/>
    <w:rsid w:val="00A542B8"/>
    <w:rsid w:val="00A54719"/>
    <w:rsid w:val="00A552FB"/>
    <w:rsid w:val="00A56A1D"/>
    <w:rsid w:val="00A5709E"/>
    <w:rsid w:val="00A5741E"/>
    <w:rsid w:val="00A60BDF"/>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39C"/>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B16"/>
    <w:rsid w:val="00AE7DB0"/>
    <w:rsid w:val="00AF0B65"/>
    <w:rsid w:val="00AF49C2"/>
    <w:rsid w:val="00AF5064"/>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2EB"/>
    <w:rsid w:val="00B57304"/>
    <w:rsid w:val="00B57665"/>
    <w:rsid w:val="00B609A8"/>
    <w:rsid w:val="00B62FA0"/>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4437"/>
    <w:rsid w:val="00BD464A"/>
    <w:rsid w:val="00BD4793"/>
    <w:rsid w:val="00BD5E90"/>
    <w:rsid w:val="00BD6CFB"/>
    <w:rsid w:val="00BD7D09"/>
    <w:rsid w:val="00BE28BE"/>
    <w:rsid w:val="00BE2902"/>
    <w:rsid w:val="00BE42CB"/>
    <w:rsid w:val="00BE4C64"/>
    <w:rsid w:val="00BE5AB7"/>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8AA"/>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055E"/>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54BA"/>
    <w:rsid w:val="00CF7088"/>
    <w:rsid w:val="00D0108B"/>
    <w:rsid w:val="00D014AD"/>
    <w:rsid w:val="00D029CB"/>
    <w:rsid w:val="00D04274"/>
    <w:rsid w:val="00D05A8B"/>
    <w:rsid w:val="00D0622A"/>
    <w:rsid w:val="00D06659"/>
    <w:rsid w:val="00D0699D"/>
    <w:rsid w:val="00D10B09"/>
    <w:rsid w:val="00D11F9B"/>
    <w:rsid w:val="00D12410"/>
    <w:rsid w:val="00D1447E"/>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5C66"/>
    <w:rsid w:val="00D369E4"/>
    <w:rsid w:val="00D36C71"/>
    <w:rsid w:val="00D40723"/>
    <w:rsid w:val="00D41A51"/>
    <w:rsid w:val="00D42DFD"/>
    <w:rsid w:val="00D437BF"/>
    <w:rsid w:val="00D4448D"/>
    <w:rsid w:val="00D45E14"/>
    <w:rsid w:val="00D461F6"/>
    <w:rsid w:val="00D4755C"/>
    <w:rsid w:val="00D52834"/>
    <w:rsid w:val="00D543AF"/>
    <w:rsid w:val="00D544FE"/>
    <w:rsid w:val="00D55813"/>
    <w:rsid w:val="00D5596F"/>
    <w:rsid w:val="00D55C96"/>
    <w:rsid w:val="00D56033"/>
    <w:rsid w:val="00D56F3F"/>
    <w:rsid w:val="00D60212"/>
    <w:rsid w:val="00D61F13"/>
    <w:rsid w:val="00D672D6"/>
    <w:rsid w:val="00D67B2A"/>
    <w:rsid w:val="00D67D4A"/>
    <w:rsid w:val="00D702BF"/>
    <w:rsid w:val="00D70434"/>
    <w:rsid w:val="00D708A4"/>
    <w:rsid w:val="00D70B9D"/>
    <w:rsid w:val="00D7223B"/>
    <w:rsid w:val="00D72B46"/>
    <w:rsid w:val="00D73122"/>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BA5"/>
    <w:rsid w:val="00D92C6A"/>
    <w:rsid w:val="00D93A65"/>
    <w:rsid w:val="00D95330"/>
    <w:rsid w:val="00D968E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E86"/>
    <w:rsid w:val="00E66C3B"/>
    <w:rsid w:val="00E718CF"/>
    <w:rsid w:val="00E71B00"/>
    <w:rsid w:val="00E71E7D"/>
    <w:rsid w:val="00E73C7F"/>
    <w:rsid w:val="00E73D86"/>
    <w:rsid w:val="00E740D9"/>
    <w:rsid w:val="00E74169"/>
    <w:rsid w:val="00E76804"/>
    <w:rsid w:val="00E76F59"/>
    <w:rsid w:val="00E7766E"/>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4B8"/>
    <w:rsid w:val="00EA28E5"/>
    <w:rsid w:val="00EA2914"/>
    <w:rsid w:val="00EA3791"/>
    <w:rsid w:val="00EA4A42"/>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739"/>
    <w:rsid w:val="00EC1D1E"/>
    <w:rsid w:val="00EC201F"/>
    <w:rsid w:val="00EC2DD1"/>
    <w:rsid w:val="00EC465B"/>
    <w:rsid w:val="00EC5A0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0F92"/>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220"/>
    <w:rsid w:val="00F46B8B"/>
    <w:rsid w:val="00F47660"/>
    <w:rsid w:val="00F47B51"/>
    <w:rsid w:val="00F507DB"/>
    <w:rsid w:val="00F519AE"/>
    <w:rsid w:val="00F5236F"/>
    <w:rsid w:val="00F52C7A"/>
    <w:rsid w:val="00F5416E"/>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89"/>
    <w:rsid w:val="00F74ED0"/>
    <w:rsid w:val="00F75B44"/>
    <w:rsid w:val="00F763E8"/>
    <w:rsid w:val="00F8081C"/>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2E"/>
    <w:rsid w:val="00FC07B8"/>
    <w:rsid w:val="00FC07FC"/>
    <w:rsid w:val="00FC13D8"/>
    <w:rsid w:val="00FC17BB"/>
    <w:rsid w:val="00FC34E3"/>
    <w:rsid w:val="00FC6E54"/>
    <w:rsid w:val="00FD09B7"/>
    <w:rsid w:val="00FD129C"/>
    <w:rsid w:val="00FD1379"/>
    <w:rsid w:val="00FD33A2"/>
    <w:rsid w:val="00FD4076"/>
    <w:rsid w:val="00FD6206"/>
    <w:rsid w:val="00FD6931"/>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76A"/>
    <w:rsid w:val="01125CD1"/>
    <w:rsid w:val="0125555A"/>
    <w:rsid w:val="019D18DB"/>
    <w:rsid w:val="01C97F9D"/>
    <w:rsid w:val="02355118"/>
    <w:rsid w:val="0276200A"/>
    <w:rsid w:val="02905223"/>
    <w:rsid w:val="02DA7D7D"/>
    <w:rsid w:val="03A7506E"/>
    <w:rsid w:val="04B65AC7"/>
    <w:rsid w:val="04C063D7"/>
    <w:rsid w:val="04C80BE4"/>
    <w:rsid w:val="054D2E98"/>
    <w:rsid w:val="056B6E59"/>
    <w:rsid w:val="066F03DC"/>
    <w:rsid w:val="073D1435"/>
    <w:rsid w:val="07AA3D6E"/>
    <w:rsid w:val="07C22AC8"/>
    <w:rsid w:val="08355B3E"/>
    <w:rsid w:val="087D49D7"/>
    <w:rsid w:val="094B5A4F"/>
    <w:rsid w:val="09612329"/>
    <w:rsid w:val="098B1EF5"/>
    <w:rsid w:val="09F00BD8"/>
    <w:rsid w:val="0A2501E1"/>
    <w:rsid w:val="0A4D7372"/>
    <w:rsid w:val="0B2C0FB7"/>
    <w:rsid w:val="0C873133"/>
    <w:rsid w:val="0CBA1583"/>
    <w:rsid w:val="0D47430F"/>
    <w:rsid w:val="0DDE633E"/>
    <w:rsid w:val="0E630E58"/>
    <w:rsid w:val="0E6F0740"/>
    <w:rsid w:val="0EA919BB"/>
    <w:rsid w:val="0EAD067B"/>
    <w:rsid w:val="0EF13925"/>
    <w:rsid w:val="0F321E2D"/>
    <w:rsid w:val="0F586698"/>
    <w:rsid w:val="0F873A11"/>
    <w:rsid w:val="10DF3115"/>
    <w:rsid w:val="1168209E"/>
    <w:rsid w:val="119953D1"/>
    <w:rsid w:val="11A359E6"/>
    <w:rsid w:val="12BC16CB"/>
    <w:rsid w:val="12DD5483"/>
    <w:rsid w:val="131C76E1"/>
    <w:rsid w:val="134C3D35"/>
    <w:rsid w:val="13703BEA"/>
    <w:rsid w:val="147E437F"/>
    <w:rsid w:val="1501485D"/>
    <w:rsid w:val="15AA3E44"/>
    <w:rsid w:val="16481B85"/>
    <w:rsid w:val="17032544"/>
    <w:rsid w:val="175D39E6"/>
    <w:rsid w:val="176D19FF"/>
    <w:rsid w:val="17FA5CE8"/>
    <w:rsid w:val="180049CA"/>
    <w:rsid w:val="18616FB6"/>
    <w:rsid w:val="18653602"/>
    <w:rsid w:val="18685FEA"/>
    <w:rsid w:val="18702526"/>
    <w:rsid w:val="18A941C2"/>
    <w:rsid w:val="18AE37B2"/>
    <w:rsid w:val="18F57E04"/>
    <w:rsid w:val="18FD7A43"/>
    <w:rsid w:val="1A317F88"/>
    <w:rsid w:val="1A7D51BE"/>
    <w:rsid w:val="1A9B1F53"/>
    <w:rsid w:val="1ABF2E63"/>
    <w:rsid w:val="1AD9054A"/>
    <w:rsid w:val="1B3D4012"/>
    <w:rsid w:val="1B481AFB"/>
    <w:rsid w:val="1C520BFC"/>
    <w:rsid w:val="1D235F66"/>
    <w:rsid w:val="1D330706"/>
    <w:rsid w:val="1D665A9E"/>
    <w:rsid w:val="1D7F65B0"/>
    <w:rsid w:val="1D8D3AB3"/>
    <w:rsid w:val="1DCD2FD7"/>
    <w:rsid w:val="1DD66608"/>
    <w:rsid w:val="1E21472F"/>
    <w:rsid w:val="1E5E07AF"/>
    <w:rsid w:val="1E64724C"/>
    <w:rsid w:val="1EB2633F"/>
    <w:rsid w:val="1F51614F"/>
    <w:rsid w:val="1FA422C6"/>
    <w:rsid w:val="20705710"/>
    <w:rsid w:val="20AF1DF1"/>
    <w:rsid w:val="211E529B"/>
    <w:rsid w:val="224D6C40"/>
    <w:rsid w:val="231651CE"/>
    <w:rsid w:val="232660FF"/>
    <w:rsid w:val="23B81482"/>
    <w:rsid w:val="24112049"/>
    <w:rsid w:val="247F3404"/>
    <w:rsid w:val="248512BD"/>
    <w:rsid w:val="24CB286B"/>
    <w:rsid w:val="25A05924"/>
    <w:rsid w:val="25A745A9"/>
    <w:rsid w:val="25FD8A14"/>
    <w:rsid w:val="263A1902"/>
    <w:rsid w:val="26A351D2"/>
    <w:rsid w:val="27181867"/>
    <w:rsid w:val="274041AA"/>
    <w:rsid w:val="2744098B"/>
    <w:rsid w:val="2926605B"/>
    <w:rsid w:val="293D6BFB"/>
    <w:rsid w:val="29F572ED"/>
    <w:rsid w:val="2A261D45"/>
    <w:rsid w:val="2A4A4D64"/>
    <w:rsid w:val="2A964895"/>
    <w:rsid w:val="2AA14025"/>
    <w:rsid w:val="2AA823D6"/>
    <w:rsid w:val="2B2348E2"/>
    <w:rsid w:val="2BDE6407"/>
    <w:rsid w:val="2C6F71F1"/>
    <w:rsid w:val="2C7F2EA6"/>
    <w:rsid w:val="2CD30697"/>
    <w:rsid w:val="2D1E05D5"/>
    <w:rsid w:val="2D9F1A0F"/>
    <w:rsid w:val="2DB4770D"/>
    <w:rsid w:val="2ECB6253"/>
    <w:rsid w:val="2EFCDDE9"/>
    <w:rsid w:val="2FC63EED"/>
    <w:rsid w:val="2FF6024A"/>
    <w:rsid w:val="3003631E"/>
    <w:rsid w:val="305F1C1A"/>
    <w:rsid w:val="3078124A"/>
    <w:rsid w:val="3090209F"/>
    <w:rsid w:val="30D1263C"/>
    <w:rsid w:val="31DE1118"/>
    <w:rsid w:val="32195113"/>
    <w:rsid w:val="32264A0B"/>
    <w:rsid w:val="323F20A0"/>
    <w:rsid w:val="326667AB"/>
    <w:rsid w:val="32A233A1"/>
    <w:rsid w:val="32C850C3"/>
    <w:rsid w:val="32D900A8"/>
    <w:rsid w:val="33311C2C"/>
    <w:rsid w:val="336D3D6E"/>
    <w:rsid w:val="33A50E97"/>
    <w:rsid w:val="35315A2C"/>
    <w:rsid w:val="356C3834"/>
    <w:rsid w:val="36171F6D"/>
    <w:rsid w:val="36357B33"/>
    <w:rsid w:val="37C71177"/>
    <w:rsid w:val="37F77630"/>
    <w:rsid w:val="3817459E"/>
    <w:rsid w:val="38684C65"/>
    <w:rsid w:val="38DF62F7"/>
    <w:rsid w:val="38FA0996"/>
    <w:rsid w:val="39193DDA"/>
    <w:rsid w:val="396E02FE"/>
    <w:rsid w:val="39CB6CCC"/>
    <w:rsid w:val="39D42485"/>
    <w:rsid w:val="3AA26C9B"/>
    <w:rsid w:val="3ADC5E36"/>
    <w:rsid w:val="3B1278F8"/>
    <w:rsid w:val="3B5721B9"/>
    <w:rsid w:val="3B6E2210"/>
    <w:rsid w:val="3B7B643D"/>
    <w:rsid w:val="3BE47C50"/>
    <w:rsid w:val="3C3F7E0E"/>
    <w:rsid w:val="3C8E2667"/>
    <w:rsid w:val="3CA212B0"/>
    <w:rsid w:val="3CF00133"/>
    <w:rsid w:val="3D37424B"/>
    <w:rsid w:val="3E7838B7"/>
    <w:rsid w:val="3E7A082F"/>
    <w:rsid w:val="405E7E2A"/>
    <w:rsid w:val="40AE7493"/>
    <w:rsid w:val="40F15E66"/>
    <w:rsid w:val="41D55858"/>
    <w:rsid w:val="424010B3"/>
    <w:rsid w:val="42680181"/>
    <w:rsid w:val="43446568"/>
    <w:rsid w:val="437906BF"/>
    <w:rsid w:val="438B7515"/>
    <w:rsid w:val="43BF4217"/>
    <w:rsid w:val="43D9533F"/>
    <w:rsid w:val="43D97B26"/>
    <w:rsid w:val="43E319AC"/>
    <w:rsid w:val="443F70BA"/>
    <w:rsid w:val="44C70D28"/>
    <w:rsid w:val="452560E2"/>
    <w:rsid w:val="452E0DEB"/>
    <w:rsid w:val="454E006C"/>
    <w:rsid w:val="45CD4E81"/>
    <w:rsid w:val="4625557D"/>
    <w:rsid w:val="465173C0"/>
    <w:rsid w:val="467218CA"/>
    <w:rsid w:val="46916FD5"/>
    <w:rsid w:val="4705372C"/>
    <w:rsid w:val="47085279"/>
    <w:rsid w:val="47503719"/>
    <w:rsid w:val="47727391"/>
    <w:rsid w:val="47FC5B26"/>
    <w:rsid w:val="48A567D1"/>
    <w:rsid w:val="49613924"/>
    <w:rsid w:val="498254A8"/>
    <w:rsid w:val="49BF7A70"/>
    <w:rsid w:val="49DD7C63"/>
    <w:rsid w:val="49E22B20"/>
    <w:rsid w:val="4A9216E3"/>
    <w:rsid w:val="4B053B70"/>
    <w:rsid w:val="4B3040AF"/>
    <w:rsid w:val="4BF21917"/>
    <w:rsid w:val="4C081A35"/>
    <w:rsid w:val="4CF24C8C"/>
    <w:rsid w:val="4D4941DA"/>
    <w:rsid w:val="4D786103"/>
    <w:rsid w:val="4E1E4B6D"/>
    <w:rsid w:val="4EBD3D3C"/>
    <w:rsid w:val="4EF16A51"/>
    <w:rsid w:val="4F2F25EA"/>
    <w:rsid w:val="4F77635D"/>
    <w:rsid w:val="4FCA0E77"/>
    <w:rsid w:val="507C5328"/>
    <w:rsid w:val="50F36CD9"/>
    <w:rsid w:val="5132797B"/>
    <w:rsid w:val="522C6B64"/>
    <w:rsid w:val="52622C38"/>
    <w:rsid w:val="52A83A4C"/>
    <w:rsid w:val="538E25DC"/>
    <w:rsid w:val="53AB764B"/>
    <w:rsid w:val="53B52962"/>
    <w:rsid w:val="53D57297"/>
    <w:rsid w:val="54A93E33"/>
    <w:rsid w:val="54D02591"/>
    <w:rsid w:val="54DA3C43"/>
    <w:rsid w:val="557B66CE"/>
    <w:rsid w:val="559B1181"/>
    <w:rsid w:val="55E15918"/>
    <w:rsid w:val="55FE1B82"/>
    <w:rsid w:val="56376A81"/>
    <w:rsid w:val="56423997"/>
    <w:rsid w:val="56624A63"/>
    <w:rsid w:val="56830F29"/>
    <w:rsid w:val="56BF0EA2"/>
    <w:rsid w:val="56CE15F2"/>
    <w:rsid w:val="57724A45"/>
    <w:rsid w:val="57A329FE"/>
    <w:rsid w:val="59414843"/>
    <w:rsid w:val="59773AA7"/>
    <w:rsid w:val="599833AD"/>
    <w:rsid w:val="59996800"/>
    <w:rsid w:val="5A9A320F"/>
    <w:rsid w:val="5B2C56F7"/>
    <w:rsid w:val="5BDF3319"/>
    <w:rsid w:val="5CC96107"/>
    <w:rsid w:val="5D93468D"/>
    <w:rsid w:val="5DA17FA3"/>
    <w:rsid w:val="5DE6679D"/>
    <w:rsid w:val="5E421CE6"/>
    <w:rsid w:val="5EA87B0A"/>
    <w:rsid w:val="5EB119EE"/>
    <w:rsid w:val="5ECD030A"/>
    <w:rsid w:val="5EF822AC"/>
    <w:rsid w:val="5F076D88"/>
    <w:rsid w:val="5F7516C9"/>
    <w:rsid w:val="5F777E2D"/>
    <w:rsid w:val="5F8828F6"/>
    <w:rsid w:val="5F9D6424"/>
    <w:rsid w:val="60920AA2"/>
    <w:rsid w:val="60A2104F"/>
    <w:rsid w:val="60CD53F8"/>
    <w:rsid w:val="60F3649D"/>
    <w:rsid w:val="626E2D07"/>
    <w:rsid w:val="62A57FE5"/>
    <w:rsid w:val="62B8321C"/>
    <w:rsid w:val="631E41D1"/>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835199"/>
    <w:rsid w:val="69B46572"/>
    <w:rsid w:val="69FF35E1"/>
    <w:rsid w:val="6AC81E68"/>
    <w:rsid w:val="6AF0346D"/>
    <w:rsid w:val="6AF95043"/>
    <w:rsid w:val="6C8535FE"/>
    <w:rsid w:val="6C877B43"/>
    <w:rsid w:val="6D000BE4"/>
    <w:rsid w:val="6D1112AB"/>
    <w:rsid w:val="6D735E56"/>
    <w:rsid w:val="6D935AB0"/>
    <w:rsid w:val="6E087119"/>
    <w:rsid w:val="6E6910B0"/>
    <w:rsid w:val="6E6BBD5B"/>
    <w:rsid w:val="6E7177C1"/>
    <w:rsid w:val="6EFB50E8"/>
    <w:rsid w:val="6F767D3E"/>
    <w:rsid w:val="6F9E6B4A"/>
    <w:rsid w:val="6FD8504E"/>
    <w:rsid w:val="6FD9623E"/>
    <w:rsid w:val="6FFFFE07"/>
    <w:rsid w:val="70057BD7"/>
    <w:rsid w:val="70172D17"/>
    <w:rsid w:val="703C3353"/>
    <w:rsid w:val="70540472"/>
    <w:rsid w:val="70A4425D"/>
    <w:rsid w:val="70D03D2D"/>
    <w:rsid w:val="70FCB5E6"/>
    <w:rsid w:val="71173046"/>
    <w:rsid w:val="714275DF"/>
    <w:rsid w:val="71597A72"/>
    <w:rsid w:val="71AF2191"/>
    <w:rsid w:val="72004E9D"/>
    <w:rsid w:val="72E9489F"/>
    <w:rsid w:val="73A445D3"/>
    <w:rsid w:val="73D77FD4"/>
    <w:rsid w:val="73E1565D"/>
    <w:rsid w:val="73F37C4C"/>
    <w:rsid w:val="74A024F7"/>
    <w:rsid w:val="74EC3E9E"/>
    <w:rsid w:val="74EF587D"/>
    <w:rsid w:val="75544B2F"/>
    <w:rsid w:val="760A43BF"/>
    <w:rsid w:val="762427D7"/>
    <w:rsid w:val="766905FD"/>
    <w:rsid w:val="7697086B"/>
    <w:rsid w:val="76995B35"/>
    <w:rsid w:val="76D77C6C"/>
    <w:rsid w:val="7710320B"/>
    <w:rsid w:val="774464EA"/>
    <w:rsid w:val="77724862"/>
    <w:rsid w:val="77DB773F"/>
    <w:rsid w:val="783E4597"/>
    <w:rsid w:val="784A356F"/>
    <w:rsid w:val="78B121DE"/>
    <w:rsid w:val="78B25C80"/>
    <w:rsid w:val="78B935F2"/>
    <w:rsid w:val="794E06BE"/>
    <w:rsid w:val="797265CF"/>
    <w:rsid w:val="7A265E0F"/>
    <w:rsid w:val="7A9E49DE"/>
    <w:rsid w:val="7AC562DA"/>
    <w:rsid w:val="7B82113C"/>
    <w:rsid w:val="7BC7547B"/>
    <w:rsid w:val="7BCD23C3"/>
    <w:rsid w:val="7BE208A5"/>
    <w:rsid w:val="7C396B41"/>
    <w:rsid w:val="7CD94027"/>
    <w:rsid w:val="7D2A73BF"/>
    <w:rsid w:val="7D5C4474"/>
    <w:rsid w:val="7D87285F"/>
    <w:rsid w:val="7DA27DF5"/>
    <w:rsid w:val="7DDB64D4"/>
    <w:rsid w:val="7DDF5E0F"/>
    <w:rsid w:val="7DEA4005"/>
    <w:rsid w:val="7E3EF67D"/>
    <w:rsid w:val="7E5940F2"/>
    <w:rsid w:val="7E735EC8"/>
    <w:rsid w:val="7EB54B6D"/>
    <w:rsid w:val="7ECC1D41"/>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03F5"/>
  <w15:docId w15:val="{C6C71F7F-137D-45E7-A8B9-EE74F3D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99"/>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0">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5">
    <w:name w:val="修订2"/>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3207">
      <w:bodyDiv w:val="1"/>
      <w:marLeft w:val="0"/>
      <w:marRight w:val="0"/>
      <w:marTop w:val="0"/>
      <w:marBottom w:val="0"/>
      <w:divBdr>
        <w:top w:val="none" w:sz="0" w:space="0" w:color="auto"/>
        <w:left w:val="none" w:sz="0" w:space="0" w:color="auto"/>
        <w:bottom w:val="none" w:sz="0" w:space="0" w:color="auto"/>
        <w:right w:val="none" w:sz="0" w:space="0" w:color="auto"/>
      </w:divBdr>
      <w:divsChild>
        <w:div w:id="2044282099">
          <w:marLeft w:val="0"/>
          <w:marRight w:val="0"/>
          <w:marTop w:val="0"/>
          <w:marBottom w:val="0"/>
          <w:divBdr>
            <w:top w:val="none" w:sz="0" w:space="0" w:color="auto"/>
            <w:left w:val="none" w:sz="0" w:space="0" w:color="auto"/>
            <w:bottom w:val="none" w:sz="0" w:space="0" w:color="auto"/>
            <w:right w:val="none" w:sz="0" w:space="0" w:color="auto"/>
          </w:divBdr>
        </w:div>
      </w:divsChild>
    </w:div>
    <w:div w:id="1199006110">
      <w:bodyDiv w:val="1"/>
      <w:marLeft w:val="0"/>
      <w:marRight w:val="0"/>
      <w:marTop w:val="0"/>
      <w:marBottom w:val="0"/>
      <w:divBdr>
        <w:top w:val="none" w:sz="0" w:space="0" w:color="auto"/>
        <w:left w:val="none" w:sz="0" w:space="0" w:color="auto"/>
        <w:bottom w:val="none" w:sz="0" w:space="0" w:color="auto"/>
        <w:right w:val="none" w:sz="0" w:space="0" w:color="auto"/>
      </w:divBdr>
    </w:div>
    <w:div w:id="1771117959">
      <w:bodyDiv w:val="1"/>
      <w:marLeft w:val="0"/>
      <w:marRight w:val="0"/>
      <w:marTop w:val="0"/>
      <w:marBottom w:val="0"/>
      <w:divBdr>
        <w:top w:val="none" w:sz="0" w:space="0" w:color="auto"/>
        <w:left w:val="none" w:sz="0" w:space="0" w:color="auto"/>
        <w:bottom w:val="none" w:sz="0" w:space="0" w:color="auto"/>
        <w:right w:val="none" w:sz="0" w:space="0" w:color="auto"/>
      </w:divBdr>
    </w:div>
    <w:div w:id="1855993409">
      <w:bodyDiv w:val="1"/>
      <w:marLeft w:val="0"/>
      <w:marRight w:val="0"/>
      <w:marTop w:val="0"/>
      <w:marBottom w:val="0"/>
      <w:divBdr>
        <w:top w:val="none" w:sz="0" w:space="0" w:color="auto"/>
        <w:left w:val="none" w:sz="0" w:space="0" w:color="auto"/>
        <w:bottom w:val="none" w:sz="0" w:space="0" w:color="auto"/>
        <w:right w:val="none" w:sz="0" w:space="0" w:color="auto"/>
      </w:divBdr>
    </w:div>
    <w:div w:id="2130081429">
      <w:bodyDiv w:val="1"/>
      <w:marLeft w:val="0"/>
      <w:marRight w:val="0"/>
      <w:marTop w:val="0"/>
      <w:marBottom w:val="0"/>
      <w:divBdr>
        <w:top w:val="none" w:sz="0" w:space="0" w:color="auto"/>
        <w:left w:val="none" w:sz="0" w:space="0" w:color="auto"/>
        <w:bottom w:val="none" w:sz="0" w:space="0" w:color="auto"/>
        <w:right w:val="none" w:sz="0" w:space="0" w:color="auto"/>
      </w:divBdr>
      <w:divsChild>
        <w:div w:id="156378618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4</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Sriganesh</cp:lastModifiedBy>
  <cp:revision>5</cp:revision>
  <cp:lastPrinted>2113-01-01T16:00:00Z</cp:lastPrinted>
  <dcterms:created xsi:type="dcterms:W3CDTF">2025-02-07T04:17:00Z</dcterms:created>
  <dcterms:modified xsi:type="dcterms:W3CDTF">2025-02-07T08:32:00Z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